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233680</wp:posOffset>
            </wp:positionH>
            <wp:positionV relativeFrom="page">
              <wp:posOffset>405765</wp:posOffset>
            </wp:positionV>
            <wp:extent cx="7089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431800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60325</wp:posOffset>
            </wp:positionV>
            <wp:extent cx="25546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81" w:lineRule="exact"/>
        <w:rPr>
          <w:sz w:val="24"/>
          <w:szCs w:val="24"/>
          <w:color w:val="auto"/>
        </w:rPr>
      </w:pPr>
    </w:p>
    <w:p>
      <w:pPr>
        <w:ind w:left="1600" w:hanging="562"/>
        <w:spacing w:after="0"/>
        <w:tabs>
          <w:tab w:leader="none" w:pos="16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00" w:lineRule="exact"/>
        <w:rPr>
          <w:sz w:val="24"/>
          <w:szCs w:val="24"/>
          <w:color w:val="auto"/>
        </w:rPr>
      </w:pPr>
    </w:p>
    <w:p>
      <w:pPr>
        <w:spacing w:after="0" w:line="386" w:lineRule="exact"/>
        <w:rPr>
          <w:sz w:val="24"/>
          <w:szCs w:val="24"/>
          <w:color w:val="auto"/>
        </w:rPr>
      </w:pPr>
    </w:p>
    <w:p>
      <w:pPr>
        <w:ind w:left="1600" w:hanging="562"/>
        <w:spacing w:after="0"/>
        <w:tabs>
          <w:tab w:leader="none" w:pos="16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680" w:type="dxa"/>
            <w:vAlign w:val="bottom"/>
          </w:tcPr>
          <w:p>
            <w:pPr>
              <w:spacing w:after="0"/>
              <w:rPr>
                <w:sz w:val="18"/>
                <w:szCs w:val="18"/>
                <w:color w:val="auto"/>
              </w:rPr>
            </w:pPr>
          </w:p>
        </w:tc>
        <w:tc>
          <w:tcPr>
            <w:tcW w:w="32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4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w:t>
            </w:r>
          </w:p>
        </w:tc>
      </w:tr>
      <w:tr>
        <w:trPr>
          <w:trHeight w:val="377"/>
        </w:trPr>
        <w:tc>
          <w:tcPr>
            <w:tcW w:w="3680" w:type="dxa"/>
            <w:vAlign w:val="bottom"/>
          </w:tcPr>
          <w:p>
            <w:pPr>
              <w:spacing w:after="0"/>
              <w:rPr>
                <w:sz w:val="24"/>
                <w:szCs w:val="24"/>
                <w:color w:val="auto"/>
              </w:rPr>
            </w:pPr>
          </w:p>
        </w:tc>
        <w:tc>
          <w:tcPr>
            <w:tcW w:w="3220" w:type="dxa"/>
            <w:vAlign w:val="bottom"/>
          </w:tcPr>
          <w:p>
            <w:pPr>
              <w:jc w:val="center"/>
              <w:ind w:left="593"/>
              <w:spacing w:after="0"/>
              <w:rPr>
                <w:sz w:val="20"/>
                <w:szCs w:val="20"/>
                <w:color w:val="auto"/>
              </w:rPr>
            </w:pPr>
            <w:r>
              <w:rPr>
                <w:rFonts w:ascii="Times New Roman" w:cs="Times New Roman" w:eastAsia="Times New Roman" w:hAnsi="Times New Roman"/>
                <w:sz w:val="16"/>
                <w:szCs w:val="16"/>
                <w:b w:val="1"/>
                <w:bCs w:val="1"/>
                <w:color w:val="auto"/>
              </w:rPr>
              <w:t>Commission file number: 001-35986</w:t>
            </w:r>
          </w:p>
        </w:tc>
        <w:tc>
          <w:tcPr>
            <w:tcW w:w="4300" w:type="dxa"/>
            <w:vAlign w:val="bottom"/>
          </w:tcPr>
          <w:p>
            <w:pPr>
              <w:spacing w:after="0"/>
              <w:rPr>
                <w:sz w:val="24"/>
                <w:szCs w:val="24"/>
                <w:color w:val="auto"/>
              </w:rPr>
            </w:pPr>
          </w:p>
        </w:tc>
      </w:tr>
      <w:tr>
        <w:trPr>
          <w:trHeight w:val="411"/>
        </w:trPr>
        <w:tc>
          <w:tcPr>
            <w:tcW w:w="3680" w:type="dxa"/>
            <w:vAlign w:val="bottom"/>
          </w:tcPr>
          <w:p>
            <w:pPr>
              <w:spacing w:after="0"/>
              <w:rPr>
                <w:sz w:val="24"/>
                <w:szCs w:val="24"/>
                <w:color w:val="auto"/>
              </w:rPr>
            </w:pPr>
          </w:p>
        </w:tc>
        <w:tc>
          <w:tcPr>
            <w:tcW w:w="7520" w:type="dxa"/>
            <w:vAlign w:val="bottom"/>
            <w:gridSpan w:val="2"/>
          </w:tcPr>
          <w:p>
            <w:pPr>
              <w:jc w:val="center"/>
              <w:ind w:right="3562"/>
              <w:spacing w:after="0"/>
              <w:rPr>
                <w:sz w:val="20"/>
                <w:szCs w:val="20"/>
                <w:color w:val="auto"/>
              </w:rPr>
            </w:pPr>
            <w:r>
              <w:rPr>
                <w:rFonts w:ascii="Times New Roman" w:cs="Times New Roman" w:eastAsia="Times New Roman" w:hAnsi="Times New Roman"/>
                <w:sz w:val="32"/>
                <w:szCs w:val="32"/>
                <w:b w:val="1"/>
                <w:bCs w:val="1"/>
                <w:color w:val="auto"/>
              </w:rPr>
              <w:t>Esperion Therapeutics, Inc.</w:t>
            </w:r>
          </w:p>
        </w:tc>
      </w:tr>
      <w:tr>
        <w:trPr>
          <w:trHeight w:val="210"/>
        </w:trPr>
        <w:tc>
          <w:tcPr>
            <w:tcW w:w="3680" w:type="dxa"/>
            <w:vAlign w:val="bottom"/>
          </w:tcPr>
          <w:p>
            <w:pPr>
              <w:spacing w:after="0"/>
              <w:rPr>
                <w:sz w:val="18"/>
                <w:szCs w:val="18"/>
                <w:color w:val="auto"/>
              </w:rPr>
            </w:pPr>
          </w:p>
        </w:tc>
        <w:tc>
          <w:tcPr>
            <w:tcW w:w="7520" w:type="dxa"/>
            <w:vAlign w:val="bottom"/>
            <w:gridSpan w:val="2"/>
          </w:tcPr>
          <w:p>
            <w:pPr>
              <w:jc w:val="center"/>
              <w:ind w:right="3542"/>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r>
      <w:tr>
        <w:trPr>
          <w:trHeight w:val="324"/>
        </w:trPr>
        <w:tc>
          <w:tcPr>
            <w:tcW w:w="3680" w:type="dxa"/>
            <w:vAlign w:val="bottom"/>
          </w:tcPr>
          <w:p>
            <w:pPr>
              <w:jc w:val="center"/>
              <w:ind w:left="1622"/>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220" w:type="dxa"/>
            <w:vAlign w:val="bottom"/>
          </w:tcPr>
          <w:p>
            <w:pPr>
              <w:spacing w:after="0"/>
              <w:rPr>
                <w:sz w:val="24"/>
                <w:szCs w:val="24"/>
                <w:color w:val="auto"/>
              </w:rPr>
            </w:pPr>
          </w:p>
        </w:tc>
        <w:tc>
          <w:tcPr>
            <w:tcW w:w="4300" w:type="dxa"/>
            <w:vAlign w:val="bottom"/>
          </w:tcPr>
          <w:p>
            <w:pPr>
              <w:jc w:val="center"/>
              <w:ind w:right="1022"/>
              <w:spacing w:after="0"/>
              <w:rPr>
                <w:sz w:val="20"/>
                <w:szCs w:val="20"/>
                <w:color w:val="auto"/>
              </w:rPr>
            </w:pPr>
            <w:r>
              <w:rPr>
                <w:rFonts w:ascii="Times New Roman" w:cs="Times New Roman" w:eastAsia="Times New Roman" w:hAnsi="Times New Roman"/>
                <w:sz w:val="16"/>
                <w:szCs w:val="16"/>
                <w:b w:val="1"/>
                <w:bCs w:val="1"/>
                <w:color w:val="auto"/>
              </w:rPr>
              <w:t>26-1870780</w:t>
            </w:r>
          </w:p>
        </w:tc>
      </w:tr>
      <w:tr>
        <w:trPr>
          <w:trHeight w:val="168"/>
        </w:trPr>
        <w:tc>
          <w:tcPr>
            <w:tcW w:w="3680" w:type="dxa"/>
            <w:vAlign w:val="bottom"/>
          </w:tcPr>
          <w:p>
            <w:pPr>
              <w:jc w:val="center"/>
              <w:ind w:left="1642"/>
              <w:spacing w:after="0" w:line="168"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3220" w:type="dxa"/>
            <w:vAlign w:val="bottom"/>
          </w:tcPr>
          <w:p>
            <w:pPr>
              <w:spacing w:after="0"/>
              <w:rPr>
                <w:sz w:val="14"/>
                <w:szCs w:val="14"/>
                <w:color w:val="auto"/>
              </w:rPr>
            </w:pPr>
          </w:p>
        </w:tc>
        <w:tc>
          <w:tcPr>
            <w:tcW w:w="4300" w:type="dxa"/>
            <w:vAlign w:val="bottom"/>
          </w:tcPr>
          <w:p>
            <w:pPr>
              <w:jc w:val="center"/>
              <w:ind w:right="1022"/>
              <w:spacing w:after="0" w:line="168"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3680" w:type="dxa"/>
            <w:vAlign w:val="bottom"/>
          </w:tcPr>
          <w:p>
            <w:pPr>
              <w:jc w:val="center"/>
              <w:ind w:left="1622"/>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220" w:type="dxa"/>
            <w:vAlign w:val="bottom"/>
          </w:tcPr>
          <w:p>
            <w:pPr>
              <w:spacing w:after="0"/>
              <w:rPr>
                <w:sz w:val="18"/>
                <w:szCs w:val="18"/>
                <w:color w:val="auto"/>
              </w:rPr>
            </w:pPr>
          </w:p>
        </w:tc>
        <w:tc>
          <w:tcPr>
            <w:tcW w:w="4300" w:type="dxa"/>
            <w:vAlign w:val="bottom"/>
          </w:tcPr>
          <w:p>
            <w:pPr>
              <w:jc w:val="center"/>
              <w:ind w:right="1022"/>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87"/>
        </w:trPr>
        <w:tc>
          <w:tcPr>
            <w:tcW w:w="3680" w:type="dxa"/>
            <w:vAlign w:val="bottom"/>
          </w:tcPr>
          <w:p>
            <w:pPr>
              <w:spacing w:after="0"/>
              <w:rPr>
                <w:sz w:val="24"/>
                <w:szCs w:val="24"/>
                <w:color w:val="auto"/>
              </w:rPr>
            </w:pPr>
          </w:p>
        </w:tc>
        <w:tc>
          <w:tcPr>
            <w:tcW w:w="3220" w:type="dxa"/>
            <w:vAlign w:val="bottom"/>
          </w:tcPr>
          <w:p>
            <w:pPr>
              <w:jc w:val="center"/>
              <w:ind w:left="593"/>
              <w:spacing w:after="0"/>
              <w:rPr>
                <w:sz w:val="20"/>
                <w:szCs w:val="20"/>
                <w:color w:val="auto"/>
              </w:rPr>
            </w:pPr>
            <w:r>
              <w:rPr>
                <w:rFonts w:ascii="Times New Roman" w:cs="Times New Roman" w:eastAsia="Times New Roman" w:hAnsi="Times New Roman"/>
                <w:sz w:val="16"/>
                <w:szCs w:val="16"/>
                <w:b w:val="1"/>
                <w:bCs w:val="1"/>
                <w:color w:val="auto"/>
              </w:rPr>
              <w:t>3891 Ranchero Drive, Suite 150</w:t>
            </w:r>
          </w:p>
        </w:tc>
        <w:tc>
          <w:tcPr>
            <w:tcW w:w="4300" w:type="dxa"/>
            <w:vAlign w:val="bottom"/>
          </w:tcPr>
          <w:p>
            <w:pPr>
              <w:spacing w:after="0"/>
              <w:rPr>
                <w:sz w:val="24"/>
                <w:szCs w:val="24"/>
                <w:color w:val="auto"/>
              </w:rPr>
            </w:pPr>
          </w:p>
        </w:tc>
      </w:tr>
      <w:tr>
        <w:trPr>
          <w:trHeight w:val="204"/>
        </w:trPr>
        <w:tc>
          <w:tcPr>
            <w:tcW w:w="3680" w:type="dxa"/>
            <w:vAlign w:val="bottom"/>
          </w:tcPr>
          <w:p>
            <w:pPr>
              <w:spacing w:after="0"/>
              <w:rPr>
                <w:sz w:val="17"/>
                <w:szCs w:val="17"/>
                <w:color w:val="auto"/>
              </w:rPr>
            </w:pPr>
          </w:p>
        </w:tc>
        <w:tc>
          <w:tcPr>
            <w:tcW w:w="3220" w:type="dxa"/>
            <w:vAlign w:val="bottom"/>
          </w:tcPr>
          <w:p>
            <w:pPr>
              <w:jc w:val="center"/>
              <w:ind w:left="593"/>
              <w:spacing w:after="0"/>
              <w:rPr>
                <w:sz w:val="20"/>
                <w:szCs w:val="20"/>
                <w:color w:val="auto"/>
              </w:rPr>
            </w:pPr>
            <w:r>
              <w:rPr>
                <w:rFonts w:ascii="Times New Roman" w:cs="Times New Roman" w:eastAsia="Times New Roman" w:hAnsi="Times New Roman"/>
                <w:sz w:val="16"/>
                <w:szCs w:val="16"/>
                <w:b w:val="1"/>
                <w:bCs w:val="1"/>
                <w:color w:val="auto"/>
              </w:rPr>
              <w:t>Ann Arbor, MI 48108</w:t>
            </w:r>
          </w:p>
        </w:tc>
        <w:tc>
          <w:tcPr>
            <w:tcW w:w="4300" w:type="dxa"/>
            <w:vAlign w:val="bottom"/>
          </w:tcPr>
          <w:p>
            <w:pPr>
              <w:spacing w:after="0"/>
              <w:rPr>
                <w:sz w:val="17"/>
                <w:szCs w:val="17"/>
                <w:color w:val="auto"/>
              </w:rPr>
            </w:pPr>
          </w:p>
        </w:tc>
      </w:tr>
      <w:tr>
        <w:trPr>
          <w:trHeight w:val="189"/>
        </w:trPr>
        <w:tc>
          <w:tcPr>
            <w:tcW w:w="3680" w:type="dxa"/>
            <w:vAlign w:val="bottom"/>
          </w:tcPr>
          <w:p>
            <w:pPr>
              <w:spacing w:after="0"/>
              <w:rPr>
                <w:sz w:val="16"/>
                <w:szCs w:val="16"/>
                <w:color w:val="auto"/>
              </w:rPr>
            </w:pPr>
          </w:p>
        </w:tc>
        <w:tc>
          <w:tcPr>
            <w:tcW w:w="7520" w:type="dxa"/>
            <w:vAlign w:val="bottom"/>
            <w:gridSpan w:val="2"/>
          </w:tcPr>
          <w:p>
            <w:pPr>
              <w:jc w:val="center"/>
              <w:ind w:right="3542"/>
              <w:spacing w:after="0"/>
              <w:rPr>
                <w:sz w:val="20"/>
                <w:szCs w:val="20"/>
                <w:color w:val="auto"/>
              </w:rPr>
            </w:pPr>
            <w:r>
              <w:rPr>
                <w:rFonts w:ascii="Times New Roman" w:cs="Times New Roman" w:eastAsia="Times New Roman" w:hAnsi="Times New Roman"/>
                <w:sz w:val="16"/>
                <w:szCs w:val="16"/>
                <w:color w:val="auto"/>
              </w:rPr>
              <w:t>(Address of principal executive office) (Zip Code)</w:t>
            </w:r>
          </w:p>
        </w:tc>
      </w:tr>
      <w:tr>
        <w:trPr>
          <w:trHeight w:val="210"/>
        </w:trPr>
        <w:tc>
          <w:tcPr>
            <w:tcW w:w="3680" w:type="dxa"/>
            <w:vAlign w:val="bottom"/>
          </w:tcPr>
          <w:p>
            <w:pPr>
              <w:spacing w:after="0"/>
              <w:rPr>
                <w:sz w:val="18"/>
                <w:szCs w:val="18"/>
                <w:color w:val="auto"/>
              </w:rPr>
            </w:pPr>
          </w:p>
        </w:tc>
        <w:tc>
          <w:tcPr>
            <w:tcW w:w="7520" w:type="dxa"/>
            <w:vAlign w:val="bottom"/>
            <w:gridSpan w:val="2"/>
          </w:tcPr>
          <w:p>
            <w:pPr>
              <w:jc w:val="center"/>
              <w:ind w:right="3562"/>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208"/>
        </w:trPr>
        <w:tc>
          <w:tcPr>
            <w:tcW w:w="3680" w:type="dxa"/>
            <w:vAlign w:val="bottom"/>
          </w:tcPr>
          <w:p>
            <w:pPr>
              <w:spacing w:after="0"/>
              <w:rPr>
                <w:sz w:val="18"/>
                <w:szCs w:val="18"/>
                <w:color w:val="auto"/>
              </w:rPr>
            </w:pPr>
          </w:p>
        </w:tc>
        <w:tc>
          <w:tcPr>
            <w:tcW w:w="3220" w:type="dxa"/>
            <w:vAlign w:val="bottom"/>
          </w:tcPr>
          <w:p>
            <w:pPr>
              <w:jc w:val="center"/>
              <w:ind w:left="593"/>
              <w:spacing w:after="0"/>
              <w:rPr>
                <w:sz w:val="20"/>
                <w:szCs w:val="20"/>
                <w:color w:val="auto"/>
              </w:rPr>
            </w:pPr>
            <w:r>
              <w:rPr>
                <w:rFonts w:ascii="Times New Roman" w:cs="Times New Roman" w:eastAsia="Times New Roman" w:hAnsi="Times New Roman"/>
                <w:sz w:val="16"/>
                <w:szCs w:val="16"/>
                <w:b w:val="1"/>
                <w:bCs w:val="1"/>
                <w:color w:val="auto"/>
              </w:rPr>
              <w:t>(734) 887-3903</w:t>
            </w:r>
          </w:p>
        </w:tc>
        <w:tc>
          <w:tcPr>
            <w:tcW w:w="4300" w:type="dxa"/>
            <w:vAlign w:val="bottom"/>
          </w:tcPr>
          <w:p>
            <w:pPr>
              <w:spacing w:after="0"/>
              <w:rPr>
                <w:sz w:val="18"/>
                <w:szCs w:val="18"/>
                <w:color w:val="auto"/>
              </w:rPr>
            </w:pPr>
          </w:p>
        </w:tc>
      </w:tr>
      <w:tr>
        <w:trPr>
          <w:trHeight w:val="210"/>
        </w:trPr>
        <w:tc>
          <w:tcPr>
            <w:tcW w:w="6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4300" w:type="dxa"/>
            <w:vAlign w:val="bottom"/>
          </w:tcPr>
          <w:p>
            <w:pPr>
              <w:spacing w:after="0"/>
              <w:rPr>
                <w:sz w:val="18"/>
                <w:szCs w:val="18"/>
                <w:color w:val="auto"/>
              </w:rPr>
            </w:pPr>
          </w:p>
        </w:tc>
      </w:tr>
      <w:tr>
        <w:trPr>
          <w:trHeight w:val="307"/>
        </w:trPr>
        <w:tc>
          <w:tcPr>
            <w:tcW w:w="368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220" w:type="dxa"/>
            <w:vAlign w:val="bottom"/>
          </w:tcPr>
          <w:p>
            <w:pPr>
              <w:jc w:val="center"/>
              <w:ind w:left="513"/>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300" w:type="dxa"/>
            <w:vAlign w:val="bottom"/>
          </w:tcPr>
          <w:p>
            <w:pPr>
              <w:jc w:val="center"/>
              <w:ind w:left="782"/>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68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15"/>
        </w:trPr>
        <w:tc>
          <w:tcPr>
            <w:tcW w:w="3680" w:type="dxa"/>
            <w:vAlign w:val="bottom"/>
          </w:tcPr>
          <w:p>
            <w:pPr>
              <w:jc w:val="center"/>
              <w:ind w:right="182"/>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3220" w:type="dxa"/>
            <w:vAlign w:val="bottom"/>
          </w:tcPr>
          <w:p>
            <w:pPr>
              <w:jc w:val="center"/>
              <w:ind w:left="513"/>
              <w:spacing w:after="0"/>
              <w:rPr>
                <w:sz w:val="20"/>
                <w:szCs w:val="20"/>
                <w:color w:val="auto"/>
              </w:rPr>
            </w:pPr>
            <w:r>
              <w:rPr>
                <w:rFonts w:ascii="Times New Roman" w:cs="Times New Roman" w:eastAsia="Times New Roman" w:hAnsi="Times New Roman"/>
                <w:sz w:val="14"/>
                <w:szCs w:val="14"/>
                <w:color w:val="auto"/>
              </w:rPr>
              <w:t>ESPR</w:t>
            </w:r>
          </w:p>
        </w:tc>
        <w:tc>
          <w:tcPr>
            <w:tcW w:w="4300" w:type="dxa"/>
            <w:vAlign w:val="bottom"/>
          </w:tcPr>
          <w:p>
            <w:pPr>
              <w:jc w:val="center"/>
              <w:ind w:left="802"/>
              <w:spacing w:after="0"/>
              <w:rPr>
                <w:sz w:val="20"/>
                <w:szCs w:val="20"/>
                <w:color w:val="auto"/>
              </w:rPr>
            </w:pPr>
            <w:r>
              <w:rPr>
                <w:rFonts w:ascii="Arial" w:cs="Arial" w:eastAsia="Arial" w:hAnsi="Arial"/>
                <w:sz w:val="14"/>
                <w:szCs w:val="14"/>
                <w:color w:val="auto"/>
              </w:rPr>
              <w:t xml:space="preserve">NASDAQ </w:t>
            </w:r>
            <w:r>
              <w:rPr>
                <w:rFonts w:ascii="Times New Roman" w:cs="Times New Roman" w:eastAsia="Times New Roman" w:hAnsi="Times New Roman"/>
                <w:sz w:val="14"/>
                <w:szCs w:val="14"/>
                <w:color w:val="auto"/>
              </w:rPr>
              <w:t>Stock Market LLC</w:t>
            </w:r>
          </w:p>
        </w:tc>
      </w:tr>
    </w:tbl>
    <w:p>
      <w:pPr>
        <w:spacing w:after="0" w:line="102" w:lineRule="exact"/>
        <w:rPr>
          <w:sz w:val="24"/>
          <w:szCs w:val="24"/>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90 days. Yes </w:t>
      </w:r>
      <w:r>
        <w:rPr>
          <w:rFonts w:ascii="Arial" w:cs="Arial" w:eastAsia="Arial" w:hAnsi="Arial"/>
          <w:sz w:val="16"/>
          <w:szCs w:val="16"/>
          <w:color w:val="auto"/>
        </w:rPr>
        <w:t>x</w:t>
      </w:r>
      <w:r>
        <w:rPr>
          <w:rFonts w:ascii="Times New Roman" w:cs="Times New Roman" w:eastAsia="Times New Roman" w:hAnsi="Times New Roman"/>
          <w:sz w:val="16"/>
          <w:szCs w:val="16"/>
          <w:color w:val="auto"/>
        </w:rPr>
        <w:t xml:space="preserve"> No </w:t>
      </w:r>
      <w:r>
        <w:rPr>
          <w:rFonts w:ascii="Arial" w:cs="Arial" w:eastAsia="Arial" w:hAnsi="Arial"/>
          <w:sz w:val="16"/>
          <w:szCs w:val="16"/>
          <w:color w:val="auto"/>
        </w:rPr>
        <w:t>o</w:t>
      </w:r>
    </w:p>
    <w:p>
      <w:pPr>
        <w:spacing w:after="0" w:line="14" w:lineRule="exact"/>
        <w:rPr>
          <w:sz w:val="24"/>
          <w:szCs w:val="24"/>
          <w:color w:val="auto"/>
        </w:rPr>
      </w:pPr>
    </w:p>
    <w:p>
      <w:pPr>
        <w:ind w:right="240"/>
        <w:spacing w:after="0" w:line="25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w:cs="Arial" w:eastAsia="Arial" w:hAnsi="Arial"/>
          <w:sz w:val="16"/>
          <w:szCs w:val="16"/>
          <w:color w:val="auto"/>
        </w:rPr>
        <w:t>x</w:t>
      </w:r>
      <w:r>
        <w:rPr>
          <w:rFonts w:ascii="Times New Roman" w:cs="Times New Roman" w:eastAsia="Times New Roman" w:hAnsi="Times New Roman"/>
          <w:sz w:val="16"/>
          <w:szCs w:val="16"/>
          <w:color w:val="auto"/>
        </w:rPr>
        <w:t xml:space="preserve"> No </w:t>
      </w:r>
      <w:r>
        <w:rPr>
          <w:rFonts w:ascii="Arial" w:cs="Arial" w:eastAsia="Arial" w:hAnsi="Arial"/>
          <w:sz w:val="16"/>
          <w:szCs w:val="16"/>
          <w:color w:val="auto"/>
        </w:rPr>
        <w:t>o</w:t>
      </w:r>
    </w:p>
    <w:p>
      <w:pPr>
        <w:ind w:right="160"/>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88" w:right="339" w:bottom="1440" w:gutter="0" w:footer="0" w:header="0"/>
        </w:sectPr>
      </w:pPr>
    </w:p>
    <w:p>
      <w:pPr>
        <w:spacing w:after="0" w:line="99"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6"/>
          <w:szCs w:val="16"/>
          <w:color w:val="auto"/>
        </w:rPr>
        <w:t xml:space="preserve">Large accelerated filer </w:t>
      </w: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 xml:space="preserve">Accelerated filer </w:t>
      </w:r>
      <w:r>
        <w:rPr>
          <w:rFonts w:ascii="Arial" w:cs="Arial" w:eastAsia="Arial" w:hAnsi="Arial"/>
          <w:sz w:val="15"/>
          <w:szCs w:val="15"/>
          <w:color w:val="auto"/>
        </w:rPr>
        <w:t>o</w:t>
      </w:r>
    </w:p>
    <w:p>
      <w:pPr>
        <w:spacing w:after="0" w:line="96" w:lineRule="exact"/>
        <w:rPr>
          <w:sz w:val="24"/>
          <w:szCs w:val="24"/>
          <w:color w:val="auto"/>
        </w:rPr>
      </w:pPr>
    </w:p>
    <w:p>
      <w:pPr>
        <w:sectPr>
          <w:pgSz w:w="11900" w:h="16838" w:orient="portrait"/>
          <w:cols w:equalWidth="0" w:num="2">
            <w:col w:w="6800" w:space="720"/>
            <w:col w:w="3720"/>
          </w:cols>
          <w:pgMar w:left="320" w:top="988" w:right="339" w:bottom="1440" w:gutter="0" w:footer="0" w:header="0"/>
          <w:type w:val="continuous"/>
        </w:sectPr>
      </w:pPr>
    </w:p>
    <w:p>
      <w:pPr>
        <w:ind w:left="1760"/>
        <w:spacing w:after="0"/>
        <w:rPr>
          <w:sz w:val="20"/>
          <w:szCs w:val="20"/>
          <w:color w:val="auto"/>
        </w:rPr>
      </w:pPr>
      <w:r>
        <w:rPr>
          <w:rFonts w:ascii="Times New Roman" w:cs="Times New Roman" w:eastAsia="Times New Roman" w:hAnsi="Times New Roman"/>
          <w:sz w:val="16"/>
          <w:szCs w:val="16"/>
          <w:color w:val="auto"/>
        </w:rPr>
        <w:t xml:space="preserve">Non-accelerated filer </w:t>
      </w: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108" w:lineRule="exact"/>
        <w:rPr>
          <w:sz w:val="24"/>
          <w:szCs w:val="24"/>
          <w:color w:val="auto"/>
        </w:rPr>
      </w:pPr>
    </w:p>
    <w:p>
      <w:pPr>
        <w:sectPr>
          <w:pgSz w:w="11900" w:h="16838" w:orient="portrait"/>
          <w:cols w:equalWidth="0" w:num="3">
            <w:col w:w="6080" w:space="720"/>
            <w:col w:w="1760" w:space="80"/>
            <w:col w:w="2600"/>
          </w:cols>
          <w:pgMar w:left="320" w:top="988" w:right="339" w:bottom="1440" w:gutter="0" w:footer="0" w:header="0"/>
          <w:type w:val="continuous"/>
        </w:sectPr>
      </w:pPr>
    </w:p>
    <w:p>
      <w:pPr>
        <w:ind w:left="6840"/>
        <w:spacing w:after="0"/>
        <w:rPr>
          <w:sz w:val="20"/>
          <w:szCs w:val="20"/>
          <w:color w:val="auto"/>
        </w:rPr>
      </w:pPr>
      <w:r>
        <w:rPr>
          <w:rFonts w:ascii="Times New Roman" w:cs="Times New Roman" w:eastAsia="Times New Roman" w:hAnsi="Times New Roman"/>
          <w:sz w:val="15"/>
          <w:szCs w:val="15"/>
          <w:color w:val="auto"/>
        </w:rPr>
        <w:t xml:space="preserve">Emerging growth company </w:t>
      </w:r>
      <w:r>
        <w:rPr>
          <w:rFonts w:ascii="Arial" w:cs="Arial" w:eastAsia="Arial" w:hAnsi="Arial"/>
          <w:sz w:val="15"/>
          <w:szCs w:val="15"/>
          <w:color w:val="auto"/>
        </w:rPr>
        <w:t>o</w:t>
      </w:r>
    </w:p>
    <w:p>
      <w:pPr>
        <w:sectPr>
          <w:pgSz w:w="11900" w:h="16838" w:orient="portrait"/>
          <w:cols w:equalWidth="0" w:num="1">
            <w:col w:w="11240"/>
          </w:cols>
          <w:pgMar w:left="320" w:top="988" w:right="339" w:bottom="1440" w:gutter="0" w:footer="0" w:header="0"/>
          <w:type w:val="continuous"/>
        </w:sectPr>
      </w:pPr>
    </w:p>
    <w:p>
      <w:pPr>
        <w:spacing w:after="0" w:line="124" w:lineRule="exact"/>
        <w:rPr>
          <w:sz w:val="24"/>
          <w:szCs w:val="24"/>
          <w:color w:val="auto"/>
        </w:rPr>
      </w:pPr>
    </w:p>
    <w:p>
      <w:pPr>
        <w:ind w:right="580"/>
        <w:spacing w:after="0" w:line="262"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1" w:lineRule="exact"/>
        <w:rPr>
          <w:sz w:val="24"/>
          <w:szCs w:val="24"/>
          <w:color w:val="auto"/>
        </w:rPr>
      </w:pPr>
    </w:p>
    <w:p>
      <w:pPr>
        <w:jc w:val="both"/>
        <w:ind w:right="2960"/>
        <w:spacing w:after="0" w:line="19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Arial" w:cs="Arial" w:eastAsia="Arial" w:hAnsi="Arial"/>
          <w:sz w:val="16"/>
          <w:szCs w:val="16"/>
          <w:color w:val="auto"/>
        </w:rPr>
        <w:t>x</w:t>
      </w:r>
      <w:r>
        <w:rPr>
          <w:rFonts w:ascii="Times New Roman" w:cs="Times New Roman" w:eastAsia="Times New Roman" w:hAnsi="Times New Roman"/>
          <w:sz w:val="16"/>
          <w:szCs w:val="16"/>
          <w:color w:val="auto"/>
        </w:rPr>
        <w:t xml:space="preserve"> As of August 1, 2022, there were 66,551,549 shares of the registrant’s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548640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398145</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424180</wp:posOffset>
            </wp:positionV>
            <wp:extent cx="70891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12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 FINANCIAL INFORMATION</w:t>
            </w: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120" w:type="dxa"/>
            <w:vAlign w:val="bottom"/>
            <w:gridSpan w:val="10"/>
            <w:vMerge w:val="continue"/>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0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Item 1. Financial Statements</w:t>
            </w:r>
          </w:p>
        </w:tc>
        <w:tc>
          <w:tcPr>
            <w:tcW w:w="1900" w:type="dxa"/>
            <w:vAlign w:val="bottom"/>
            <w:gridSpan w:val="4"/>
          </w:tcPr>
          <w:p>
            <w:pPr>
              <w:spacing w:after="0"/>
              <w:rPr>
                <w:sz w:val="24"/>
                <w:szCs w:val="24"/>
                <w:color w:val="auto"/>
              </w:rPr>
            </w:pPr>
          </w:p>
        </w:tc>
        <w:tc>
          <w:tcPr>
            <w:tcW w:w="3240" w:type="dxa"/>
            <w:vAlign w:val="bottom"/>
            <w:tcBorders>
              <w:top w:val="single" w:sz="8" w:color="0000FF"/>
            </w:tcBorders>
            <w:gridSpan w:val="6"/>
          </w:tcPr>
          <w:p>
            <w:pPr>
              <w:spacing w:after="0"/>
              <w:rPr>
                <w:sz w:val="24"/>
                <w:szCs w:val="24"/>
                <w:color w:val="auto"/>
              </w:rPr>
            </w:pPr>
          </w:p>
        </w:tc>
        <w:tc>
          <w:tcPr>
            <w:tcW w:w="2880" w:type="dxa"/>
            <w:vAlign w:val="bottom"/>
            <w:gridSpan w:val="4"/>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Balance Sheets at June 30, 2022 and December 31, 202</w:t>
            </w:r>
            <w:r>
              <w:rPr>
                <w:rFonts w:ascii="Times New Roman" w:cs="Times New Roman" w:eastAsia="Times New Roman" w:hAnsi="Times New Roman"/>
                <w:sz w:val="18"/>
                <w:szCs w:val="18"/>
                <w:color w:val="0E32E1"/>
              </w:rPr>
              <w:t>1</w:t>
            </w: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Condensed Statements of Operations and Comprehensive Loss for the three and six month periods ended June 30, 2022 and 2021</w:t>
            </w:r>
          </w:p>
        </w:tc>
        <w:tc>
          <w:tcPr>
            <w:tcW w:w="100" w:type="dxa"/>
            <w:vAlign w:val="bottom"/>
          </w:tcPr>
          <w:p>
            <w:pPr>
              <w:spacing w:after="0"/>
              <w:rPr>
                <w:sz w:val="18"/>
                <w:szCs w:val="18"/>
                <w:color w:val="auto"/>
              </w:rPr>
            </w:pP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Statements of Stockholders’ Deficit for the three and six month periods ended June 30, 2022 and 2021</w:t>
            </w:r>
          </w:p>
        </w:tc>
        <w:tc>
          <w:tcPr>
            <w:tcW w:w="100" w:type="dxa"/>
            <w:vAlign w:val="bottom"/>
          </w:tcPr>
          <w:p>
            <w:pPr>
              <w:spacing w:after="0"/>
              <w:rPr>
                <w:sz w:val="18"/>
                <w:szCs w:val="18"/>
                <w:color w:val="auto"/>
              </w:rPr>
            </w:pP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Condensed Statements of Cash Flows for the six month periods ended June 30, 2022 and 2021</w:t>
            </w:r>
          </w:p>
        </w:tc>
        <w:tc>
          <w:tcPr>
            <w:tcW w:w="14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Notes to Condensed Financial Statements</w:t>
            </w:r>
          </w:p>
        </w:tc>
        <w:tc>
          <w:tcPr>
            <w:tcW w:w="2620" w:type="dxa"/>
            <w:vAlign w:val="bottom"/>
            <w:gridSpan w:val="3"/>
          </w:tcPr>
          <w:p>
            <w:pPr>
              <w:spacing w:after="0"/>
              <w:rPr>
                <w:sz w:val="18"/>
                <w:szCs w:val="18"/>
                <w:color w:val="auto"/>
              </w:rPr>
            </w:pP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70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060" w:type="dxa"/>
            <w:vAlign w:val="bottom"/>
            <w:gridSpan w:val="5"/>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25</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0000FF"/>
              </w:rPr>
              <w:t>Item 3.</w:t>
            </w:r>
          </w:p>
        </w:tc>
        <w:tc>
          <w:tcPr>
            <w:tcW w:w="438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gridSpan w:val="4"/>
          </w:tcPr>
          <w:p>
            <w:pPr>
              <w:spacing w:after="0"/>
              <w:rPr>
                <w:sz w:val="24"/>
                <w:szCs w:val="24"/>
                <w:color w:val="auto"/>
              </w:rPr>
            </w:pPr>
          </w:p>
        </w:tc>
        <w:tc>
          <w:tcPr>
            <w:tcW w:w="3060" w:type="dxa"/>
            <w:vAlign w:val="bottom"/>
            <w:gridSpan w:val="5"/>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36</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0000FF"/>
              </w:rPr>
              <w:t>Item 4.</w:t>
            </w:r>
          </w:p>
        </w:tc>
        <w:tc>
          <w:tcPr>
            <w:tcW w:w="438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160" w:type="dxa"/>
            <w:vAlign w:val="bottom"/>
            <w:gridSpan w:val="9"/>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36</w:t>
            </w:r>
          </w:p>
        </w:tc>
        <w:tc>
          <w:tcPr>
            <w:tcW w:w="0" w:type="dxa"/>
            <w:vAlign w:val="bottom"/>
          </w:tcPr>
          <w:p>
            <w:pPr>
              <w:spacing w:after="0"/>
              <w:rPr>
                <w:sz w:val="1"/>
                <w:szCs w:val="1"/>
                <w:color w:val="auto"/>
              </w:rPr>
            </w:pPr>
          </w:p>
        </w:tc>
      </w:tr>
      <w:tr>
        <w:trPr>
          <w:trHeight w:val="479"/>
        </w:trPr>
        <w:tc>
          <w:tcPr>
            <w:tcW w:w="5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7760" w:type="dxa"/>
            <w:vAlign w:val="bottom"/>
            <w:gridSpan w:val="13"/>
          </w:tcPr>
          <w:p>
            <w:pPr>
              <w:ind w:left="1240"/>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9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0000FF"/>
              </w:rPr>
              <w:t>Item 1.</w:t>
            </w:r>
          </w:p>
        </w:tc>
        <w:tc>
          <w:tcPr>
            <w:tcW w:w="302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Legal Proceedings</w:t>
            </w:r>
          </w:p>
        </w:tc>
        <w:tc>
          <w:tcPr>
            <w:tcW w:w="2940" w:type="dxa"/>
            <w:vAlign w:val="bottom"/>
            <w:tcBorders>
              <w:top w:val="single" w:sz="8" w:color="0000FF"/>
            </w:tcBorders>
            <w:gridSpan w:val="6"/>
          </w:tcPr>
          <w:p>
            <w:pPr>
              <w:spacing w:after="0"/>
              <w:rPr>
                <w:sz w:val="24"/>
                <w:szCs w:val="24"/>
                <w:color w:val="auto"/>
              </w:rPr>
            </w:pPr>
          </w:p>
        </w:tc>
        <w:tc>
          <w:tcPr>
            <w:tcW w:w="3580" w:type="dxa"/>
            <w:vAlign w:val="bottom"/>
            <w:gridSpan w:val="6"/>
          </w:tcPr>
          <w:p>
            <w:pPr>
              <w:spacing w:after="0"/>
              <w:rPr>
                <w:sz w:val="24"/>
                <w:szCs w:val="24"/>
                <w:color w:val="auto"/>
              </w:rPr>
            </w:pP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38</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8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8200" w:type="dxa"/>
            <w:vAlign w:val="bottom"/>
            <w:gridSpan w:val="15"/>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38</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500" w:type="dxa"/>
            <w:vAlign w:val="bottom"/>
            <w:gridSpan w:val="1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0000FF"/>
              </w:rPr>
              <w:t>Item 6.</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6"/>
              </w:rPr>
              <w:t>Exhibits</w:t>
            </w:r>
          </w:p>
        </w:tc>
        <w:tc>
          <w:tcPr>
            <w:tcW w:w="420" w:type="dxa"/>
            <w:vAlign w:val="bottom"/>
          </w:tcPr>
          <w:p>
            <w:pPr>
              <w:spacing w:after="0"/>
              <w:rPr>
                <w:sz w:val="24"/>
                <w:szCs w:val="24"/>
                <w:color w:val="auto"/>
              </w:rPr>
            </w:pPr>
          </w:p>
        </w:tc>
        <w:tc>
          <w:tcPr>
            <w:tcW w:w="8500" w:type="dxa"/>
            <w:vAlign w:val="bottom"/>
            <w:gridSpan w:val="16"/>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40</w:t>
            </w:r>
          </w:p>
        </w:tc>
        <w:tc>
          <w:tcPr>
            <w:tcW w:w="0" w:type="dxa"/>
            <w:vAlign w:val="bottom"/>
          </w:tcPr>
          <w:p>
            <w:pPr>
              <w:spacing w:after="0"/>
              <w:rPr>
                <w:sz w:val="1"/>
                <w:szCs w:val="1"/>
                <w:color w:val="auto"/>
              </w:rPr>
            </w:pPr>
          </w:p>
        </w:tc>
      </w:tr>
      <w:tr>
        <w:trPr>
          <w:trHeight w:val="20"/>
        </w:trPr>
        <w:tc>
          <w:tcPr>
            <w:tcW w:w="8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920" w:type="dxa"/>
            <w:vAlign w:val="bottom"/>
            <w:gridSpan w:val="1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w w:val="97"/>
              </w:rPr>
              <w:t>Signatures</w:t>
            </w:r>
          </w:p>
        </w:tc>
        <w:tc>
          <w:tcPr>
            <w:tcW w:w="340" w:type="dxa"/>
            <w:vAlign w:val="bottom"/>
          </w:tcPr>
          <w:p>
            <w:pPr>
              <w:spacing w:after="0"/>
              <w:rPr>
                <w:sz w:val="24"/>
                <w:szCs w:val="24"/>
                <w:color w:val="auto"/>
              </w:rPr>
            </w:pPr>
          </w:p>
        </w:tc>
        <w:tc>
          <w:tcPr>
            <w:tcW w:w="8920" w:type="dxa"/>
            <w:vAlign w:val="bottom"/>
            <w:gridSpan w:val="17"/>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43</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3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2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5"/>
        </w:trPr>
        <w:tc>
          <w:tcPr>
            <w:tcW w:w="8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208,892</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62,905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50,441</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22,934</w:t>
            </w: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clinical development costs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34,394</w:t>
            </w:r>
          </w:p>
        </w:tc>
      </w:tr>
      <w:tr>
        <w:trPr>
          <w:trHeight w:val="229"/>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prepaid and current assets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11,173</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328,972</w:t>
            </w:r>
          </w:p>
        </w:tc>
      </w:tr>
      <w:tr>
        <w:trPr>
          <w:trHeight w:val="203"/>
        </w:trPr>
        <w:tc>
          <w:tcPr>
            <w:tcW w:w="8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operating lease assets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381,590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8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17,559</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clinical development costs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7,013</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30,410</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 interest liability</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11,295</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 from collaborations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w:t>
            </w:r>
          </w:p>
        </w:tc>
      </w:tr>
      <w:tr>
        <w:trPr>
          <w:trHeight w:val="230"/>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82,275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73,352</w:t>
            </w:r>
          </w:p>
        </w:tc>
      </w:tr>
      <w:tr>
        <w:trPr>
          <w:trHeight w:val="183"/>
        </w:trPr>
        <w:tc>
          <w:tcPr>
            <w:tcW w:w="8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Convertible notes, net of issuance costs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258,280</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 interest liability</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245,744</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29"/>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Deferred revenue from collaborations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595,678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578,534</w:t>
            </w: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75"/>
        </w:trPr>
        <w:tc>
          <w:tcPr>
            <w:tcW w:w="82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Preferred stock, $0.001 par value; 5,000,000 shares authorized and no shares issued or outstanding as of</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June 30, 2022 and December 31, 2021</w:t>
            </w:r>
          </w:p>
        </w:tc>
        <w:tc>
          <w:tcPr>
            <w:tcW w:w="2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2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$0.001 par value; 240,000,000 shares authorized as of June 30, 2022 and 120,000,000 shares</w:t>
            </w: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84"/>
        </w:trPr>
        <w:tc>
          <w:tcPr>
            <w:tcW w:w="824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authorized as of December 31, 2021; 66,590,172 shares issued at June 30, 2022 and 62,873,694 shares issued at</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34"/>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December 31, 2021</w:t>
            </w: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992,964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964,401</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stock, at cost; 1,994,198 shares at June 30, 2022 and December 31, 2021</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(54,998)</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(1,229,432)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(1,106,377)</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(291,698)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(196,944)</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381,590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95"/>
        </w:trPr>
        <w:tc>
          <w:tcPr>
            <w:tcW w:w="5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5"/>
        </w:trPr>
        <w:tc>
          <w:tcPr>
            <w:tcW w:w="5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sales, net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26,932</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16,960</w:t>
            </w:r>
          </w:p>
        </w:tc>
        <w:tc>
          <w:tcPr>
            <w:tcW w:w="100" w:type="dxa"/>
            <w:vAlign w:val="bottom"/>
          </w:tcPr>
          <w:p>
            <w:pPr>
              <w:spacing w:after="0"/>
              <w:rPr>
                <w:sz w:val="19"/>
                <w:szCs w:val="19"/>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Collaboration revenue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31,677</w:t>
            </w:r>
          </w:p>
        </w:tc>
        <w:tc>
          <w:tcPr>
            <w:tcW w:w="100" w:type="dxa"/>
            <w:vAlign w:val="bottom"/>
            <w:shd w:val="clear" w:color="auto" w:fill="CCEEFF"/>
          </w:tcPr>
          <w:p>
            <w:pPr>
              <w:spacing w:after="0"/>
              <w:rPr>
                <w:sz w:val="19"/>
                <w:szCs w:val="19"/>
                <w:color w:val="auto"/>
              </w:rPr>
            </w:pPr>
          </w:p>
        </w:tc>
      </w:tr>
      <w:tr>
        <w:trPr>
          <w:trHeight w:val="223"/>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37,677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48,637</w:t>
            </w:r>
          </w:p>
        </w:tc>
        <w:tc>
          <w:tcPr>
            <w:tcW w:w="100" w:type="dxa"/>
            <w:vAlign w:val="bottom"/>
            <w:tcBorders>
              <w:bottom w:val="single" w:sz="8" w:color="CCEEFF"/>
            </w:tcBorders>
          </w:tcPr>
          <w:p>
            <w:pPr>
              <w:spacing w:after="0"/>
              <w:rPr>
                <w:sz w:val="19"/>
                <w:szCs w:val="19"/>
                <w:color w:val="auto"/>
              </w:rPr>
            </w:pPr>
          </w:p>
        </w:tc>
      </w:tr>
      <w:tr>
        <w:trPr>
          <w:trHeight w:val="250"/>
        </w:trPr>
        <w:tc>
          <w:tcPr>
            <w:tcW w:w="5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100" w:type="dxa"/>
            <w:vAlign w:val="bottom"/>
            <w:shd w:val="clear" w:color="auto" w:fill="CCEEFF"/>
          </w:tcPr>
          <w:p>
            <w:pPr>
              <w:spacing w:after="0"/>
              <w:rPr>
                <w:sz w:val="19"/>
                <w:szCs w:val="19"/>
                <w:color w:val="auto"/>
              </w:rPr>
            </w:pP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53,028</w:t>
            </w:r>
          </w:p>
        </w:tc>
        <w:tc>
          <w:tcPr>
            <w:tcW w:w="100" w:type="dxa"/>
            <w:vAlign w:val="bottom"/>
          </w:tcPr>
          <w:p>
            <w:pPr>
              <w:spacing w:after="0"/>
              <w:rPr>
                <w:sz w:val="19"/>
                <w:szCs w:val="19"/>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107,382</w:t>
            </w:r>
          </w:p>
        </w:tc>
        <w:tc>
          <w:tcPr>
            <w:tcW w:w="100" w:type="dxa"/>
            <w:vAlign w:val="bottom"/>
            <w:shd w:val="clear" w:color="auto" w:fill="CCEEFF"/>
          </w:tcPr>
          <w:p>
            <w:pPr>
              <w:spacing w:after="0"/>
              <w:rPr>
                <w:sz w:val="19"/>
                <w:szCs w:val="19"/>
                <w:color w:val="auto"/>
              </w:rPr>
            </w:pPr>
          </w:p>
        </w:tc>
      </w:tr>
      <w:tr>
        <w:trPr>
          <w:trHeight w:val="223"/>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71,217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73,192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133,042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163,994</w:t>
            </w:r>
          </w:p>
        </w:tc>
        <w:tc>
          <w:tcPr>
            <w:tcW w:w="100" w:type="dxa"/>
            <w:vAlign w:val="bottom"/>
            <w:tcBorders>
              <w:bottom w:val="single" w:sz="8" w:color="CCEEFF"/>
            </w:tcBorders>
          </w:tcPr>
          <w:p>
            <w:pPr>
              <w:spacing w:after="0"/>
              <w:rPr>
                <w:sz w:val="19"/>
                <w:szCs w:val="19"/>
                <w:color w:val="auto"/>
              </w:rPr>
            </w:pPr>
          </w:p>
        </w:tc>
      </w:tr>
      <w:tr>
        <w:trPr>
          <w:trHeight w:val="250"/>
        </w:trPr>
        <w:tc>
          <w:tcPr>
            <w:tcW w:w="5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(95,365)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(115,357)</w:t>
            </w:r>
          </w:p>
        </w:tc>
        <w:tc>
          <w:tcPr>
            <w:tcW w:w="100" w:type="dxa"/>
            <w:vAlign w:val="bottom"/>
          </w:tcPr>
          <w:p>
            <w:pPr>
              <w:spacing w:after="0"/>
              <w:rPr>
                <w:sz w:val="19"/>
                <w:szCs w:val="19"/>
                <w:color w:val="auto"/>
              </w:rPr>
            </w:pPr>
          </w:p>
        </w:tc>
      </w:tr>
      <w:tr>
        <w:trPr>
          <w:trHeight w:val="270"/>
        </w:trPr>
        <w:tc>
          <w:tcPr>
            <w:tcW w:w="5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(19,269)</w:t>
            </w:r>
          </w:p>
        </w:tc>
        <w:tc>
          <w:tcPr>
            <w:tcW w:w="10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(66,324)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(43,668)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(123,055)</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(134,603)</w:t>
            </w:r>
          </w:p>
        </w:tc>
        <w:tc>
          <w:tcPr>
            <w:tcW w:w="100" w:type="dxa"/>
            <w:vAlign w:val="bottom"/>
          </w:tcPr>
          <w:p>
            <w:pPr>
              <w:spacing w:after="0"/>
              <w:rPr>
                <w:sz w:val="19"/>
                <w:szCs w:val="19"/>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22"/>
        </w:trPr>
        <w:tc>
          <w:tcPr>
            <w:tcW w:w="5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1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17"/>
                <w:szCs w:val="17"/>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35"/>
        </w:trPr>
        <w:tc>
          <w:tcPr>
            <w:tcW w:w="5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03"/>
        </w:trPr>
        <w:tc>
          <w:tcPr>
            <w:tcW w:w="51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Weighted-average shares outstanding - basic and diluted</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63,227,406</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26,225,073</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62,097,358</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26,109,089</w:t>
            </w:r>
          </w:p>
        </w:tc>
        <w:tc>
          <w:tcPr>
            <w:tcW w:w="100" w:type="dxa"/>
            <w:vAlign w:val="bottom"/>
          </w:tcPr>
          <w:p>
            <w:pPr>
              <w:spacing w:after="0"/>
              <w:rPr>
                <w:sz w:val="17"/>
                <w:szCs w:val="17"/>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37"/>
        </w:trPr>
        <w:tc>
          <w:tcPr>
            <w:tcW w:w="5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(66,358)</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(43,668)</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(123,321)</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(134,603)</w:t>
            </w:r>
          </w:p>
        </w:tc>
        <w:tc>
          <w:tcPr>
            <w:tcW w:w="10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3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Deficit</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2100" w:type="dxa"/>
            <w:vAlign w:val="bottom"/>
            <w:gridSpan w:val="3"/>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2"/>
        </w:trPr>
        <w:tc>
          <w:tcPr>
            <w:tcW w:w="2800" w:type="dxa"/>
            <w:vAlign w:val="bottom"/>
          </w:tcPr>
          <w:p>
            <w:pPr>
              <w:spacing w:after="0"/>
              <w:rPr>
                <w:sz w:val="9"/>
                <w:szCs w:val="9"/>
                <w:color w:val="auto"/>
              </w:rPr>
            </w:pPr>
          </w:p>
        </w:tc>
        <w:tc>
          <w:tcPr>
            <w:tcW w:w="21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9"/>
                <w:szCs w:val="9"/>
                <w:color w:val="auto"/>
              </w:rPr>
            </w:pPr>
          </w:p>
        </w:tc>
        <w:tc>
          <w:tcPr>
            <w:tcW w:w="110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9"/>
                <w:szCs w:val="9"/>
                <w:color w:val="auto"/>
              </w:rPr>
            </w:pPr>
          </w:p>
        </w:tc>
        <w:tc>
          <w:tcPr>
            <w:tcW w:w="1280" w:type="dxa"/>
            <w:vAlign w:val="bottom"/>
            <w:gridSpan w:val="2"/>
            <w:vMerge w:val="restart"/>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9"/>
                <w:szCs w:val="9"/>
                <w:color w:val="auto"/>
              </w:rPr>
            </w:pPr>
          </w:p>
        </w:tc>
        <w:tc>
          <w:tcPr>
            <w:tcW w:w="920" w:type="dxa"/>
            <w:vAlign w:val="bottom"/>
            <w:gridSpan w:val="2"/>
            <w:vMerge w:val="restart"/>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9"/>
                <w:szCs w:val="9"/>
                <w:color w:val="auto"/>
              </w:rPr>
            </w:pPr>
          </w:p>
        </w:tc>
        <w:tc>
          <w:tcPr>
            <w:tcW w:w="1020" w:type="dxa"/>
            <w:vAlign w:val="bottom"/>
            <w:vMerge w:val="restart"/>
          </w:tcPr>
          <w:p>
            <w:pPr>
              <w:jc w:val="center"/>
              <w:ind w:right="53"/>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28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00" w:type="dxa"/>
            <w:vAlign w:val="bottom"/>
          </w:tcPr>
          <w:p>
            <w:pPr>
              <w:spacing w:after="0"/>
              <w:rPr>
                <w:sz w:val="16"/>
                <w:szCs w:val="16"/>
                <w:color w:val="auto"/>
              </w:rPr>
            </w:pPr>
          </w:p>
        </w:tc>
        <w:tc>
          <w:tcPr>
            <w:tcW w:w="13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6"/>
                <w:szCs w:val="16"/>
                <w:color w:val="auto"/>
              </w:rPr>
            </w:pPr>
          </w:p>
        </w:tc>
        <w:tc>
          <w:tcPr>
            <w:tcW w:w="102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29"/>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25,916,168</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797,655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(838,817)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(96,134)</w:t>
            </w:r>
          </w:p>
        </w:tc>
        <w:tc>
          <w:tcPr>
            <w:tcW w:w="0" w:type="dxa"/>
            <w:vAlign w:val="bottom"/>
          </w:tcPr>
          <w:p>
            <w:pPr>
              <w:spacing w:after="0"/>
              <w:rPr>
                <w:sz w:val="1"/>
                <w:szCs w:val="1"/>
                <w:color w:val="auto"/>
              </w:rPr>
            </w:pPr>
          </w:p>
        </w:tc>
      </w:tr>
      <w:tr>
        <w:trPr>
          <w:trHeight w:val="230"/>
        </w:trPr>
        <w:tc>
          <w:tcPr>
            <w:tcW w:w="2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Adoption of ASU 2020-06</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(91,927)</w:t>
            </w:r>
          </w:p>
        </w:tc>
        <w:tc>
          <w:tcPr>
            <w:tcW w:w="0" w:type="dxa"/>
            <w:vAlign w:val="bottom"/>
          </w:tcPr>
          <w:p>
            <w:pPr>
              <w:spacing w:after="0"/>
              <w:rPr>
                <w:sz w:val="1"/>
                <w:szCs w:val="1"/>
                <w:color w:val="auto"/>
              </w:rPr>
            </w:pPr>
          </w:p>
        </w:tc>
      </w:tr>
      <w:tr>
        <w:trPr>
          <w:trHeight w:val="223"/>
        </w:trPr>
        <w:tc>
          <w:tcPr>
            <w:tcW w:w="28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Balance at January 1, 2021</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25,916,168</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704,180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(837,269)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(188,061)</w:t>
            </w:r>
          </w:p>
        </w:tc>
        <w:tc>
          <w:tcPr>
            <w:tcW w:w="0" w:type="dxa"/>
            <w:vAlign w:val="bottom"/>
          </w:tcPr>
          <w:p>
            <w:pPr>
              <w:spacing w:after="0"/>
              <w:rPr>
                <w:sz w:val="1"/>
                <w:szCs w:val="1"/>
                <w:color w:val="auto"/>
              </w:rPr>
            </w:pPr>
          </w:p>
        </w:tc>
      </w:tr>
      <w:tr>
        <w:trPr>
          <w:trHeight w:val="230"/>
        </w:trPr>
        <w:tc>
          <w:tcPr>
            <w:tcW w:w="2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172,268</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Vesting of ESPP shares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50,818</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w:t>
            </w:r>
          </w:p>
        </w:tc>
        <w:tc>
          <w:tcPr>
            <w:tcW w:w="0" w:type="dxa"/>
            <w:vAlign w:val="bottom"/>
          </w:tcPr>
          <w:p>
            <w:pPr>
              <w:spacing w:after="0"/>
              <w:rPr>
                <w:sz w:val="1"/>
                <w:szCs w:val="1"/>
                <w:color w:val="auto"/>
              </w:rPr>
            </w:pPr>
          </w:p>
        </w:tc>
      </w:tr>
      <w:tr>
        <w:trPr>
          <w:trHeight w:val="229"/>
        </w:trPr>
        <w:tc>
          <w:tcPr>
            <w:tcW w:w="2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(90,935)</w:t>
            </w:r>
          </w:p>
        </w:tc>
        <w:tc>
          <w:tcPr>
            <w:tcW w:w="0" w:type="dxa"/>
            <w:vAlign w:val="bottom"/>
          </w:tcPr>
          <w:p>
            <w:pPr>
              <w:spacing w:after="0"/>
              <w:rPr>
                <w:sz w:val="1"/>
                <w:szCs w:val="1"/>
                <w:color w:val="auto"/>
              </w:rPr>
            </w:pPr>
          </w:p>
        </w:tc>
      </w:tr>
      <w:tr>
        <w:trPr>
          <w:trHeight w:val="248"/>
        </w:trPr>
        <w:tc>
          <w:tcPr>
            <w:tcW w:w="2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2021</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26,182,719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713,782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(928,204)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(269,394)</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00" w:type="dxa"/>
            <w:vAlign w:val="bottom"/>
            <w:tcBorders>
              <w:top w:val="single" w:sz="8" w:color="CCEEFF"/>
            </w:tcBorders>
            <w:vMerge w:val="continue"/>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10,477</w:t>
            </w: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ind w:left="9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81,139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8,584</w:t>
            </w: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(43,668)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(43,668)</w:t>
            </w:r>
          </w:p>
        </w:tc>
        <w:tc>
          <w:tcPr>
            <w:tcW w:w="0" w:type="dxa"/>
            <w:vAlign w:val="bottom"/>
          </w:tcPr>
          <w:p>
            <w:pPr>
              <w:spacing w:after="0"/>
              <w:rPr>
                <w:sz w:val="1"/>
                <w:szCs w:val="1"/>
                <w:color w:val="auto"/>
              </w:rPr>
            </w:pPr>
          </w:p>
        </w:tc>
      </w:tr>
      <w:tr>
        <w:trPr>
          <w:trHeight w:val="221"/>
        </w:trPr>
        <w:tc>
          <w:tcPr>
            <w:tcW w:w="280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Balance at June 30, 2021</w:t>
            </w: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26,274,335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15"/>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722,534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(971,872)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ind w:left="9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(54,998)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(304,310)</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2400" w:type="dxa"/>
            <w:vAlign w:val="bottom"/>
            <w:gridSpan w:val="5"/>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280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restart"/>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9"/>
                <w:szCs w:val="9"/>
                <w:color w:val="auto"/>
              </w:rPr>
            </w:pPr>
          </w:p>
        </w:tc>
        <w:tc>
          <w:tcPr>
            <w:tcW w:w="1160" w:type="dxa"/>
            <w:vAlign w:val="bottom"/>
            <w:gridSpan w:val="2"/>
            <w:vMerge w:val="restart"/>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9"/>
                <w:szCs w:val="9"/>
                <w:color w:val="auto"/>
              </w:rPr>
            </w:pPr>
          </w:p>
        </w:tc>
        <w:tc>
          <w:tcPr>
            <w:tcW w:w="1300" w:type="dxa"/>
            <w:vAlign w:val="bottom"/>
            <w:gridSpan w:val="2"/>
            <w:vMerge w:val="restart"/>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9"/>
                <w:szCs w:val="9"/>
                <w:color w:val="auto"/>
              </w:rPr>
            </w:pPr>
          </w:p>
        </w:tc>
        <w:tc>
          <w:tcPr>
            <w:tcW w:w="900" w:type="dxa"/>
            <w:vAlign w:val="bottom"/>
            <w:gridSpan w:val="2"/>
            <w:vMerge w:val="restart"/>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9"/>
                <w:szCs w:val="9"/>
                <w:color w:val="auto"/>
              </w:rPr>
            </w:pPr>
          </w:p>
        </w:tc>
        <w:tc>
          <w:tcPr>
            <w:tcW w:w="1040" w:type="dxa"/>
            <w:vAlign w:val="bottom"/>
            <w:vMerge w:val="restart"/>
          </w:tcPr>
          <w:p>
            <w:pPr>
              <w:jc w:val="center"/>
              <w:ind w:right="73"/>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28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800" w:type="dxa"/>
            <w:vAlign w:val="bottom"/>
          </w:tcPr>
          <w:p>
            <w:pPr>
              <w:spacing w:after="0"/>
              <w:rPr>
                <w:sz w:val="16"/>
                <w:szCs w:val="16"/>
                <w:color w:val="auto"/>
              </w:rPr>
            </w:pPr>
          </w:p>
        </w:tc>
        <w:tc>
          <w:tcPr>
            <w:tcW w:w="13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6"/>
                <w:szCs w:val="16"/>
                <w:color w:val="auto"/>
              </w:rPr>
            </w:pP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6"/>
                <w:szCs w:val="16"/>
                <w:color w:val="auto"/>
              </w:rPr>
            </w:pP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6"/>
                <w:szCs w:val="16"/>
                <w:color w:val="auto"/>
              </w:rPr>
            </w:pPr>
          </w:p>
        </w:tc>
        <w:tc>
          <w:tcPr>
            <w:tcW w:w="104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28"/>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60,879,496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964,401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(1,106,377)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(54,998)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(196,944)</w:t>
            </w:r>
          </w:p>
        </w:tc>
        <w:tc>
          <w:tcPr>
            <w:tcW w:w="0" w:type="dxa"/>
            <w:vAlign w:val="bottom"/>
          </w:tcPr>
          <w:p>
            <w:pPr>
              <w:spacing w:after="0"/>
              <w:rPr>
                <w:sz w:val="1"/>
                <w:szCs w:val="1"/>
                <w:color w:val="auto"/>
              </w:rPr>
            </w:pPr>
          </w:p>
        </w:tc>
      </w:tr>
      <w:tr>
        <w:trPr>
          <w:trHeight w:val="230"/>
        </w:trPr>
        <w:tc>
          <w:tcPr>
            <w:tcW w:w="2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of ESPP Shares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30"/>
        </w:trPr>
        <w:tc>
          <w:tcPr>
            <w:tcW w:w="2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30"/>
        </w:trPr>
        <w:tc>
          <w:tcPr>
            <w:tcW w:w="2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(56,731)</w:t>
            </w:r>
          </w:p>
        </w:tc>
        <w:tc>
          <w:tcPr>
            <w:tcW w:w="0" w:type="dxa"/>
            <w:vAlign w:val="bottom"/>
          </w:tcPr>
          <w:p>
            <w:pPr>
              <w:spacing w:after="0"/>
              <w:rPr>
                <w:sz w:val="1"/>
                <w:szCs w:val="1"/>
                <w:color w:val="auto"/>
              </w:rPr>
            </w:pPr>
          </w:p>
        </w:tc>
      </w:tr>
      <w:tr>
        <w:trPr>
          <w:trHeight w:val="221"/>
        </w:trPr>
        <w:tc>
          <w:tcPr>
            <w:tcW w:w="280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Balance at March 31, 2022</w:t>
            </w: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61,058,567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969,268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(1,163,108)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color w:val="auto"/>
              </w:rPr>
              <w:t>(54,998)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(249,040)</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00" w:type="dxa"/>
            <w:vAlign w:val="bottom"/>
            <w:tcBorders>
              <w:top w:val="single" w:sz="8" w:color="CCEEFF"/>
            </w:tcBorders>
            <w:vMerge w:val="continue"/>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184,407</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ind w:left="8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ind w:left="9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ind w:left="5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0" w:type="dxa"/>
            <w:vAlign w:val="bottom"/>
          </w:tcPr>
          <w:p>
            <w:pPr>
              <w:spacing w:after="0"/>
              <w:rPr>
                <w:sz w:val="1"/>
                <w:szCs w:val="1"/>
                <w:color w:val="auto"/>
              </w:rPr>
            </w:pPr>
          </w:p>
        </w:tc>
      </w:tr>
      <w:tr>
        <w:trPr>
          <w:trHeight w:val="184"/>
        </w:trPr>
        <w:tc>
          <w:tcPr>
            <w:tcW w:w="280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Issuance of common stock from</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ATM program, net of issuance costs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3,353,000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20,173</w:t>
            </w: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2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(66,324)</w:t>
            </w:r>
          </w:p>
        </w:tc>
        <w:tc>
          <w:tcPr>
            <w:tcW w:w="0" w:type="dxa"/>
            <w:vAlign w:val="bottom"/>
          </w:tcPr>
          <w:p>
            <w:pPr>
              <w:spacing w:after="0"/>
              <w:rPr>
                <w:sz w:val="1"/>
                <w:szCs w:val="1"/>
                <w:color w:val="auto"/>
              </w:rPr>
            </w:pPr>
          </w:p>
        </w:tc>
      </w:tr>
      <w:tr>
        <w:trPr>
          <w:trHeight w:val="221"/>
        </w:trPr>
        <w:tc>
          <w:tcPr>
            <w:tcW w:w="280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Balance at June 30, 2022</w:t>
            </w: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64,595,974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992,964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(1,229,432)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color w:val="auto"/>
              </w:rPr>
              <w:t>(54,998)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(291,698)</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3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540" w:type="dxa"/>
        <w:tblCellMar>
          <w:top w:w="0" w:type="dxa"/>
          <w:left w:w="0" w:type="dxa"/>
          <w:bottom w:w="0" w:type="dxa"/>
          <w:right w:w="0" w:type="dxa"/>
        </w:tblCellMar>
      </w:tblPr>
      <w:tr>
        <w:trPr>
          <w:trHeight w:val="190"/>
        </w:trPr>
        <w:tc>
          <w:tcPr>
            <w:tcW w:w="7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7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1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(123,055)</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(134,603)</w:t>
            </w: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premiums and discounts on investments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Non-cash interest expense related to the revenue interest liability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12,865</w:t>
            </w:r>
          </w:p>
        </w:tc>
        <w:tc>
          <w:tcPr>
            <w:tcW w:w="0" w:type="dxa"/>
            <w:vAlign w:val="bottom"/>
          </w:tcPr>
          <w:p>
            <w:pPr>
              <w:spacing w:after="0"/>
              <w:rPr>
                <w:sz w:val="1"/>
                <w:szCs w:val="1"/>
                <w:color w:val="auto"/>
              </w:rPr>
            </w:pPr>
          </w:p>
        </w:tc>
      </w:tr>
      <w:tr>
        <w:trPr>
          <w:trHeight w:val="229"/>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14,335</w:t>
            </w: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(9,466)</w:t>
            </w: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Prepaids and other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0" w:type="dxa"/>
            <w:vAlign w:val="bottom"/>
          </w:tcPr>
          <w:p>
            <w:pPr>
              <w:spacing w:after="0"/>
              <w:rPr>
                <w:sz w:val="1"/>
                <w:szCs w:val="1"/>
                <w:color w:val="auto"/>
              </w:rPr>
            </w:pPr>
          </w:p>
        </w:tc>
      </w:tr>
      <w:tr>
        <w:trPr>
          <w:trHeight w:val="230"/>
        </w:trPr>
        <w:tc>
          <w:tcPr>
            <w:tcW w:w="7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(7,578)</w:t>
            </w:r>
          </w:p>
        </w:tc>
        <w:tc>
          <w:tcPr>
            <w:tcW w:w="0" w:type="dxa"/>
            <w:vAlign w:val="bottom"/>
          </w:tcPr>
          <w:p>
            <w:pPr>
              <w:spacing w:after="0"/>
              <w:rPr>
                <w:sz w:val="1"/>
                <w:szCs w:val="1"/>
                <w:color w:val="auto"/>
              </w:rPr>
            </w:pPr>
          </w:p>
        </w:tc>
      </w:tr>
      <w:tr>
        <w:trPr>
          <w:trHeight w:val="229"/>
        </w:trPr>
        <w:tc>
          <w:tcPr>
            <w:tcW w:w="7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(22,182)</w:t>
            </w: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0" w:type="dxa"/>
            <w:vAlign w:val="bottom"/>
          </w:tcPr>
          <w:p>
            <w:pPr>
              <w:spacing w:after="0"/>
              <w:rPr>
                <w:sz w:val="1"/>
                <w:szCs w:val="1"/>
                <w:color w:val="auto"/>
              </w:rPr>
            </w:pPr>
          </w:p>
        </w:tc>
      </w:tr>
      <w:tr>
        <w:trPr>
          <w:trHeight w:val="223"/>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(136,934)</w:t>
            </w:r>
          </w:p>
        </w:tc>
        <w:tc>
          <w:tcPr>
            <w:tcW w:w="0" w:type="dxa"/>
            <w:vAlign w:val="bottom"/>
          </w:tcPr>
          <w:p>
            <w:pPr>
              <w:spacing w:after="0"/>
              <w:rPr>
                <w:sz w:val="1"/>
                <w:szCs w:val="1"/>
                <w:color w:val="auto"/>
              </w:rPr>
            </w:pPr>
          </w:p>
        </w:tc>
      </w:tr>
      <w:tr>
        <w:trPr>
          <w:trHeight w:val="270"/>
        </w:trPr>
        <w:tc>
          <w:tcPr>
            <w:tcW w:w="7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Proceeds from sales/maturities of investments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revenue interest liability, net of issuance costs</w:t>
            </w: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49,917</w:t>
            </w: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exercise of common stock options</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0" w:type="dxa"/>
            <w:vAlign w:val="bottom"/>
          </w:tcPr>
          <w:p>
            <w:pPr>
              <w:spacing w:after="0"/>
              <w:rPr>
                <w:sz w:val="1"/>
                <w:szCs w:val="1"/>
                <w:color w:val="auto"/>
              </w:rPr>
            </w:pP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from ATM program, net of issuance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on revenue interest liability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0" w:type="dxa"/>
            <w:vAlign w:val="bottom"/>
          </w:tcPr>
          <w:p>
            <w:pPr>
              <w:spacing w:after="0"/>
              <w:rPr>
                <w:sz w:val="1"/>
                <w:szCs w:val="1"/>
                <w:color w:val="auto"/>
              </w:rPr>
            </w:pPr>
          </w:p>
        </w:tc>
      </w:tr>
      <w:tr>
        <w:trPr>
          <w:trHeight w:val="230"/>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Payment of issuance costs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2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51,158</w:t>
            </w:r>
          </w:p>
        </w:tc>
        <w:tc>
          <w:tcPr>
            <w:tcW w:w="0" w:type="dxa"/>
            <w:vAlign w:val="bottom"/>
          </w:tcPr>
          <w:p>
            <w:pPr>
              <w:spacing w:after="0"/>
              <w:rPr>
                <w:sz w:val="1"/>
                <w:szCs w:val="1"/>
                <w:color w:val="auto"/>
              </w:rPr>
            </w:pPr>
          </w:p>
        </w:tc>
      </w:tr>
      <w:tr>
        <w:trPr>
          <w:trHeight w:val="270"/>
        </w:trPr>
        <w:tc>
          <w:tcPr>
            <w:tcW w:w="7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(85,952)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(85,776)</w:t>
            </w:r>
          </w:p>
        </w:tc>
        <w:tc>
          <w:tcPr>
            <w:tcW w:w="0" w:type="dxa"/>
            <w:vAlign w:val="bottom"/>
          </w:tcPr>
          <w:p>
            <w:pPr>
              <w:spacing w:after="0"/>
              <w:rPr>
                <w:sz w:val="1"/>
                <w:szCs w:val="1"/>
                <w:color w:val="auto"/>
              </w:rPr>
            </w:pPr>
          </w:p>
        </w:tc>
      </w:tr>
      <w:tr>
        <w:trPr>
          <w:trHeight w:val="230"/>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258,892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304,962</w:t>
            </w:r>
          </w:p>
        </w:tc>
        <w:tc>
          <w:tcPr>
            <w:tcW w:w="0" w:type="dxa"/>
            <w:vAlign w:val="bottom"/>
          </w:tcPr>
          <w:p>
            <w:pPr>
              <w:spacing w:after="0"/>
              <w:rPr>
                <w:sz w:val="1"/>
                <w:szCs w:val="1"/>
                <w:color w:val="auto"/>
              </w:rPr>
            </w:pPr>
          </w:p>
        </w:tc>
      </w:tr>
      <w:tr>
        <w:trPr>
          <w:trHeight w:val="248"/>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219,186</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1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costs not yet paid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 cash right of use asset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21" w:right="8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 and Basis of Presentation</w:t>
      </w:r>
    </w:p>
    <w:p>
      <w:pPr>
        <w:spacing w:after="0" w:line="20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Esperion Therapeutics, Inc. ("the Company”) is a pharmaceutical company singularly focused on developing and commercializing accessible, oral, once-daily, non-statin medicines for patients struggling with elevated low-density lipoprotein cholesterol ("LDL-C"). Through commercial execution and advancement of the CLEAR Outcomes trial as well as the Company's pre-clinical pipeline, the Company continues to evolve into a differentiated, global cardiometabolic biotech. The Esperion team of lipid experts are dedicated to lowering bad cholesterol through the discovery, development and commercialization of innovative medicines and their combinations with established medicines. The Company's first two products were approved by the U.S. Food and Drug Administration ("FDA"), European Medicines Agency ("EMA") and Swiss Agency for Therapeutic Products ("Swissmedic") in 2020. Bempedoic acid and the bempedoic acid / ezetimibe combination tablet are oral, once-daily, non-statin, LDL-C lowering medicines for patients with atherosclerotic cardiovascular disease ("ASCVD") or heterozygous familial hypercholesterolemia ("HeFH").</w:t>
      </w:r>
    </w:p>
    <w:p>
      <w:pPr>
        <w:spacing w:after="0" w:line="19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August 2, 2022, the Company announced that its CLEAR (Cholesterol Lowering via Bempedoic acid, an ACL-Inhibiting Regimen) Outcomes study of NEXLETOL® had accumulated the targeted 1,620 primary major adverse cardiovascular events (MACE-4) (cardiovascular death, nonfatal myocardial infarction, nonfatal stroke, or coronary revascularization). With achievement of this milestone, the Company began closing out the study. The Company anticipates reporting top-line results from the study in the first quarter of 2023.</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Company's primary activities since incorporation have been conducting research and development activities, including nonclinical, preclinical and clinical testing, performing business and financial planning, recruiting personnel, and raising capital. The Company received approval by the FDA in February 2020 to commercialize NEXLETOL (bempedoic acid) and NEXLIZET® (bempedoic acid and ezetimibe) tablet in the U.S., and accordingly commenced principal operations on March 30, 2020 with the commercialization of NEXLETOL. The Company is subject to risks and uncertainties which include the need to successfully commercialize its products, research, develop, and clinically test therapeutic products; obtain regulatory approvals for its products; manage its management, commercial and scientific staff; and finance its operations with an ultimate goal of achieving profitable operations.</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has sustained annual operating losses since inception and expects such losses to continue over the foreseeable future. The Company's ability to successfully launch, commercialize and generate revenue from NEXLETOL, NEXLIZET, NILEMDO® (bempedoic acid) tablet and NUSTENDI® (bempedoic acid and ezetimibe) tablet has been and may continue to be adversely affected by the economic impact of the ongoing COVID-19 pandemic. While management believes current cash resources and future cash received from the Company's net product sales and collaboration agreements with Daiichi Sankyo Europe GmbH ("DSE"), Otsuka Pharmaceutical Co., Ltd. ("Otsuka"), and Daiichi Sankyo Co. Ltd ("DS"), entered into on January 2, 2019, April 17, 2020 and April 26, 2021, respectively, will fund operations for the foreseeable future, management may continue to fund operations and advance the development of the Company's products and product candidates through a combination of collaborations with third parties, strategic alliances, licensing arrangements, permitted debt financings, permitted royalty-based financings, and permitted private and public equity offerings or through other sources. The continuing impact of COVID-19 and the uncertainty around the global pandemic could further impact the commercialization of NEXLETOL and NEXLIZET and the Company’s research and development programs and could result in lower cash flows or higher costs that could further impact the Company’s overall operations and cash needs in the future.</w:t>
      </w:r>
    </w:p>
    <w:p>
      <w:pPr>
        <w:spacing w:after="0" w:line="19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If adequate funds are not available, the Company may not be able to continue the development of its current products or future product candidates, or to commercialize its current or future product candidates, if approved.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accompanying condensed interim financial statements are unaudited and were prepared by the Company in accordance with generally accepted accounting principles in the United States of America (“GAAP”). In the opinion of management, the Company has made all adjustments, which include only normal recurring adjustments necessary for a fair presentation of the Company’s financial position and results of operations for the interim periods presented. Certain prior year amounts have been reclassified to conform with current year presentation. Certain information and disclosures normally included in the annual financial statements prepared in accordance with GAAP, but that is not required for interim reporting purposes, have been condensed or omitted. These condensed interim financial statements should be read in conjunction with the audited financial statements as of and for the year ended December 31, 2021, and the notes thereto, which are included in the Company’s Annual</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Report on Form 10-K for the year ended December 31, 2021. The results of operations for the interim periods are not necessarily indicative of the results to be expected for a full year, any other interim periods or any future year or period.</w:t>
      </w:r>
    </w:p>
    <w:p>
      <w:pPr>
        <w:spacing w:after="0" w:line="158" w:lineRule="exact"/>
        <w:rPr>
          <w:sz w:val="20"/>
          <w:szCs w:val="20"/>
          <w:color w:val="auto"/>
        </w:rPr>
      </w:pPr>
    </w:p>
    <w:p>
      <w:pPr>
        <w:ind w:right="7660" w:firstLine="8"/>
        <w:spacing w:after="0" w:line="503"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Use of Estimates</w:t>
      </w:r>
    </w:p>
    <w:p>
      <w:pPr>
        <w:ind w:right="16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generally accepted accounting principles in the United States requires management to make estimates and assumptions that affect the reported amounts of assets, liabilities, net revenues, expenses and related disclosures. Actual results could differ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right="460"/>
        <w:spacing w:after="0" w:line="312" w:lineRule="auto"/>
        <w:rPr>
          <w:sz w:val="20"/>
          <w:szCs w:val="20"/>
          <w:color w:val="auto"/>
        </w:rPr>
      </w:pPr>
      <w:r>
        <w:rPr>
          <w:rFonts w:ascii="Times New Roman" w:cs="Times New Roman" w:eastAsia="Times New Roman" w:hAnsi="Times New Roman"/>
          <w:sz w:val="17"/>
          <w:szCs w:val="17"/>
          <w:color w:val="auto"/>
        </w:rPr>
        <w:t>The Company invests its excess cash in bank deposits, money market accounts, and short-term investments. The Company considers all highly liquid investments with an original maturity of 90 days or less at the time of purchase to be cash equivalents. Cash equivalents are reported at fair value.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229"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Restricted cash consists of legally restricted amounts held by financial institutions pursuant to contractual arrangements. Pursuant to the Amendment and Waiver (as defined below), the Company deposited $50.0 million in a deposit account that is subject to a block account control agreement. Oberland will have sole control over the funds deposited in the account and such funds may be withdrawn only with the consent of Oberland. Refer to Note 8 "Liability Related to the Revenue Interest Purchase Agreement" for further information on the Amendment and Waiver.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Investments are considered to be available-for-sale and are carried at fair value. Unrealized gains and losses, if any, are reported in accumulated other comprehensive income (loss). The cost of investments classified as available-for-sale are adjusted for the amortization of premiums and accretion of discounts to maturity and recorded in other income, net. Realized gains and losses, if any, are determined using the specific identification method and recorded in other income, net. Investments with original maturities beyond 90 days at the date of purchase and which mature at, or less than twelve months from, the balance sheet date are classified as current. Investments with a maturity beyond twelve months from the balance sheet date are classified as long-term.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Risk</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enters into a limited number of distribution agreements with distributors and specialty pharmacies. The Company's net product sales are with these customers. As of June 30, 2022, eleven customers accounted for all of the Company's net trade receivables and as of December 31, 2021, nine customers accounted for all the Company's net trade receivables.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accordance with ASC 606, Revenue from Contracts with Customers, the Company recognizes revenue when a customer obtains control of promised goods or services, in an amount that reflects the consideration the Company expects to receive in exchange for the goods or services provided. To determine revenue recognition for arrangements within the scope of ASC 606, the Company performs the following five steps: identify the contracts with a customer; identify the performance obligations in the contract; determine the transaction price; allocate the transaction price to the performance obligations in the contract; and recognize revenue when or as the entity satisfies a performance obligation. At contract inception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The Company derives revenue through two primary sources: collaboration revenue and product sales. Collaboration revenue consists of the collaboration payments to the Company for collaboration arrangements outside of the United States for the development, manufacturing and commercialization, including royalties, of the Company's product candidates by the Company's partners and product sales consists of sales of NEXLETOL and NEXLIZET.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 Revenue</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has entered into agreements related to its activities to develop, manufacture, and commercialize its product candidates. The Company earns collaboration revenue in connection with a collaboration agreement to develop and/or commercialize product candidates where the Company deems the collaborator to be the customer. Revenue is recognized when (or as) the Company satisfies performance obligations under the terms of a contract. Depending on the terms of the arrangement, the Company may defer the recognition of all or a portion of the consideration received as the performance obligations are satisfied.</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collaboration agreements may require the Company to deliver various rights, services, and/or goods across the entire life cycle of a product or product candidate. In an agreement involving multiple goods or services promised to be transferred to a customer, the Company must assess, at the inception of the contract, whether each promise represents a separate performance obligation (i.e., is "distinct"), or whether such promises should be combined as a single performance obligation.</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terms of the agreement typically include consideration to be provided to the Company in the form of non-refundable up-front payments, development milestones, sales milestones, and royalties on sales of products within a respective territory. The Company recognizes regulatory and approval milestones consideration when it is probable that a future reversal is unlikely to occur. For sales-based milestones and royalties based on sales of product in a territory, the Company applies the sales-based royalty exception in ASC 606-10-55-65 to all of these milestones and royalties.</w:t>
      </w:r>
    </w:p>
    <w:p>
      <w:pPr>
        <w:spacing w:after="0" w:line="18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At the inception of the contract, the transaction price reflects the amount of consideration the Company expects to be entitled to in exchange for transferring promised goods or services to its customer. In the arrangement where the Company satisfies performance obligation(s) during the regulatory phase over time, the Company recognizes collaboration revenue typically using an input method on the basis of regulatory costs incurred relative to the total expected cost which determines the extent of progress toward completion. The Company reviews the estimate of the transaction price and the total expected cost each period and makes revisions to such estimates as necessary. Under contracted supply agreements with collaborators, the Company, through its third party contract manufacturing partners, may manufacture and supply quantities of active pharmaceutical ingredient (“API”) or bulk tablets reasonably required by collaboration partners for the development or sale of licensed products in their respective territory. The Company recognizes revenue when the collaboration partner has obtained control of the API or bulk tablets. The Company records the costs related to the supply agreement in cost of goods sold on the condensed statements of operations and comprehensive (loss) income.</w:t>
      </w:r>
    </w:p>
    <w:p>
      <w:pPr>
        <w:spacing w:after="0" w:line="18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Under the Company's collaboration agreements, product sales and cost of sales may be recorded by the Company's collaborators as they are deemed to be the principal in the transaction. The Company receives royalties from the commercialization of such products, and records its share of the variable consideration, representing a percentage of net product sales, as collaboration revenue in the period in which such underlying sales occur and costs are incurred by the collaborator.</w:t>
      </w:r>
    </w:p>
    <w:p>
      <w:pPr>
        <w:spacing w:after="0" w:line="17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b.</w:t>
        <w:tab/>
        <w:t>Product Sales, Net</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February 21, 2020, the Company announced that the FDA approved NEXLETOL as an adjunct to diet and maximally tolerated statin therapy for the treatment of adults with HeFH or established ASCVD who require additional lowering of LDL-C. On February 26, 2020, the Company announced that the FDA approved NEXLIZET as an adjunct to diet and maximally tolerated statin therapy for the treatment of adults with HeFH or established ASCVD who require additional lowering of LDL-C. On March 30, 2020, NEXLETOL was commercially available in the U.S. through prescription and on June 4, 2020, NEXLIZET was commercially available in the U.S. through prescription. Net product sales totaled $13.6 million and $26.9 million for the three and six months ended June 30, 2022, respectively, and $10.6 million and $17.0 million for the three and six months ended June 30, 2021, respectively.</w:t>
      </w:r>
    </w:p>
    <w:p>
      <w:pPr>
        <w:spacing w:after="0" w:line="187"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Company sells NEXLETOL and NEXLIZET to wholesalers in the U.S. and, in accordance with ASC 606, recognizes revenue at the point in time when the customer is deemed to have obtained control of the product. The customer is deemed to have obtained control of the product at the time of physical receipt of the product at the customers’ distribution facilities, or free on board (“FOB”) destination, the terms of which are designated in the contract.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Product sales are recorded at the net selling price, which includes estimates of variable consideration for which reserves are established for (a) rebates and chargebacks, (b) co-pay assistance programs, (c) distribution fees, (d) product returns, and (e) other discounts. Where appropriate, these estimates take into consideration a range of possible outcomes which are probability-weighted for relevant factors such as current contractual and statutory requirements, and forecasted customer buying and payment patterns. Overall, these reserves reflect the Company's best estimates of the amount of consideration to which it is entitled based on the terms of the applicable contract. The amount of variable consideration may be constrained and is included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the net sales price only to the extent that it is probable that a significant reversal in the amount of the cumulative revenue recognized will not occur in a future period. Given the early stage of the Company’s commercial operations it has provided constraint of its variable consideration due to its potential consumption trends. Actual amounts of consideration ultimately received may differ from the Company's estimates. If actual results in the future vary from estimates, the Company adjusts these estimates, which would affect net product revenue and earnings in the period such variances become known.</w:t>
      </w:r>
    </w:p>
    <w:p>
      <w:pPr>
        <w:spacing w:after="0" w:line="180" w:lineRule="exact"/>
        <w:rPr>
          <w:sz w:val="20"/>
          <w:szCs w:val="20"/>
          <w:color w:val="auto"/>
        </w:rPr>
      </w:pPr>
    </w:p>
    <w:p>
      <w:pPr>
        <w:jc w:val="both"/>
        <w:ind w:right="40"/>
        <w:spacing w:after="0" w:line="312" w:lineRule="auto"/>
        <w:rPr>
          <w:sz w:val="20"/>
          <w:szCs w:val="20"/>
          <w:color w:val="auto"/>
        </w:rPr>
      </w:pPr>
      <w:r>
        <w:rPr>
          <w:rFonts w:ascii="Times New Roman" w:cs="Times New Roman" w:eastAsia="Times New Roman" w:hAnsi="Times New Roman"/>
          <w:sz w:val="17"/>
          <w:szCs w:val="17"/>
          <w:color w:val="auto"/>
        </w:rPr>
        <w:t>Liabilities for co-pay assistance, expected product returns, rebates, and distributor fees are classified as “Other accrued liabilities” in the condensed balance sheets. Discounts, such as prompt pay discounts, and chargebacks are recorded as a reduction to trade accounts receivable in the condensed balance sheets.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Forms of Variable Consideration</w:t>
      </w:r>
    </w:p>
    <w:p>
      <w:pPr>
        <w:spacing w:after="0" w:line="22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Rebates and Chargebacks: </w:t>
      </w:r>
      <w:r>
        <w:rPr>
          <w:rFonts w:ascii="Times New Roman" w:cs="Times New Roman" w:eastAsia="Times New Roman" w:hAnsi="Times New Roman"/>
          <w:sz w:val="18"/>
          <w:szCs w:val="18"/>
          <w:color w:val="auto"/>
        </w:rPr>
        <w:t>The Company estimates reductions to product sales for Public Health Service Institutions, such as Medicaid, Medicare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Veterans' Administration ("VA") programs, as well as certain other qualifying federal and state government programs, and other group purchasing organizations. The Company estimates these reductions based upon the Company's contracts with government agencies and other organizations, statutorily defined discounts and estimated payor mix. These organizations purchase directly from the Company's wholesalers at a discount and the wholesalers charge the Company back the difference between the wholesaler price and the discounted price. The Company's liability for Medicaid rebates consists of estimates for claims that a state will make for a current quarter. The Company's reserve for this discounted pricing is based on expected sales to qualified healthcare providers and the chargebacks that customers have already claimed.</w:t>
      </w:r>
    </w:p>
    <w:p>
      <w:pPr>
        <w:spacing w:after="0" w:line="183"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Co-pay assistance: </w:t>
      </w:r>
      <w:r>
        <w:rPr>
          <w:rFonts w:ascii="Times New Roman" w:cs="Times New Roman" w:eastAsia="Times New Roman" w:hAnsi="Times New Roman"/>
          <w:sz w:val="18"/>
          <w:szCs w:val="18"/>
          <w:color w:val="auto"/>
        </w:rPr>
        <w:t>Eligible patients who have commercial insurance may receive assistance from the Company to reduce the patient's out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pocket costs. The Company will buy down the difference between the amount of the eligible patient's co-pay when the drug is purchased at the pharmacy at a determined price. Liabilities for co-pay assistance are calculated by actual program participation from third-party administrators.</w:t>
      </w:r>
    </w:p>
    <w:p>
      <w:pPr>
        <w:spacing w:after="0" w:line="173" w:lineRule="exact"/>
        <w:rPr>
          <w:sz w:val="20"/>
          <w:szCs w:val="20"/>
          <w:color w:val="auto"/>
        </w:rPr>
      </w:pPr>
    </w:p>
    <w:p>
      <w:pPr>
        <w:ind w:right="8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Distribution Fees: </w:t>
      </w:r>
      <w:r>
        <w:rPr>
          <w:rFonts w:ascii="Times New Roman" w:cs="Times New Roman" w:eastAsia="Times New Roman" w:hAnsi="Times New Roman"/>
          <w:sz w:val="18"/>
          <w:szCs w:val="18"/>
          <w:color w:val="auto"/>
        </w:rPr>
        <w:t>The Company has written contracts with its customers that include terms for distribution fees and costs for inventory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The Company estimates and records distribution fees due to its customers based on gross sales.</w:t>
      </w:r>
    </w:p>
    <w:p>
      <w:pPr>
        <w:spacing w:after="0" w:line="158"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The Company generally offers a right of return based on the product’s expiration date and certain spoilage and damaged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instances. The Company estimates the amount of product sales that may be returned and records the estimate as a reduction of product sales in the period the related product sales is recognized. The Company’s estimates for expected returns are based primarily on an ongoing analysis of sales information and visibility into the inventory remaining in the distribution channel.</w:t>
      </w:r>
    </w:p>
    <w:p>
      <w:pPr>
        <w:spacing w:after="0" w:line="180" w:lineRule="exact"/>
        <w:rPr>
          <w:sz w:val="20"/>
          <w:szCs w:val="20"/>
          <w:color w:val="auto"/>
        </w:rPr>
      </w:pPr>
    </w:p>
    <w:p>
      <w:pPr>
        <w:ind w:right="4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Discounts: </w:t>
      </w:r>
      <w:r>
        <w:rPr>
          <w:rFonts w:ascii="Times New Roman" w:cs="Times New Roman" w:eastAsia="Times New Roman" w:hAnsi="Times New Roman"/>
          <w:sz w:val="18"/>
          <w:szCs w:val="18"/>
          <w:color w:val="auto"/>
        </w:rPr>
        <w:t>The Company provides product discounts, such as prompt pay discounts, to its customers. The Company estimates cash discounts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terms in negotiated contracts and the Company’s expectations regarding future payment patterns.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and recognized on a first-in, first-out ("FIFO") method. The Company uses standard cost to determine the cost basis for inventory. Inventory is capitalized based on when future economic benefit is expected to be realized. The Company began capitalizing inventory upon receiving FDA approval for NEXLETOL and NEXLIZET on February 21, 2020 and February 26, 2020, respectively. Prior to the FDA approval of NEXLETOL and NEXLIZET, expenses associated with the manufacturing of the Company's products were recorded as research and development expense.</w:t>
      </w:r>
    </w:p>
    <w:p>
      <w:pPr>
        <w:spacing w:after="0" w:line="183"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The Company analyzes its inventory levels on a periodic basis to determine if any inventory is at risk for expiration prior to sale or has a cost basis that is greater than its estimated future net realizable value. Any adjustments are recognized through cost of goods sold in the period in which they are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Implemented Accounting Pronouncements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There have been no other material changes to the significant accounting policies previously disclosed in the Company’s Annual Report on Form 10-K for the fiscal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right="8400" w:firstLine="8"/>
        <w:spacing w:after="0" w:line="503"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Collaborations with Third Parties DSE Agreement Terms</w:t>
      </w:r>
    </w:p>
    <w:p>
      <w:pPr>
        <w:spacing w:after="0" w:line="256" w:lineRule="auto"/>
        <w:rPr>
          <w:sz w:val="20"/>
          <w:szCs w:val="20"/>
          <w:color w:val="auto"/>
        </w:rPr>
      </w:pPr>
      <w:r>
        <w:rPr>
          <w:rFonts w:ascii="Times New Roman" w:cs="Times New Roman" w:eastAsia="Times New Roman" w:hAnsi="Times New Roman"/>
          <w:sz w:val="18"/>
          <w:szCs w:val="18"/>
          <w:color w:val="auto"/>
        </w:rPr>
        <w:t>On January 2, 2019, the Company entered into a license and collaboration agreement with DSE, which was furthered amended on June 18, 2020. Pursuant to the amended agreement, the Company granted DSE exclusive commercialization rights to bempedoic acid and the bempedoic acid / ezetimibe combination tablet in the European Economic Area, Turkey, and Switzerland (“DSE Territory”). DSE will be responsible for commercialization in the DSE Territory. DSE's designated affiliate in Turkey will be solely responsible, at its sole cost and expense, for all regulatory matters relating to such products in Turkey, including obtaining regulatory approval for such products in Turkey. The Company remains responsible for clinical development, regulatory and manufacturing activities for the licensed products globally, including in the DSE Territory outside of Turkey.</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Pursuant to the agreement, the Company received upfront cash of $150.0 million in 2019 and a $150.0 million cash milestone payment in 2020 following the completion of the NUSTENDI Marketing Authorisation Applications ("MAA"). The Company is responsible for supplying DSE with certain manufacturing supply of the API or bulk tablets. The Company is also eligible to receive a substantial additional regulatory milestone payment upon the grant of the marketing authorisation in the European Union for the CV risk reduction label, depending on the range of relative risk reduction in the CLEAR Outcomes study. In addition, the Company is eligible to receive additional sales milestone payments related to total net sales achievements for DSE in the DSE Territory. Finally, the Company will receive tiered fifteen percent (15%) to twenty-five percent (25%) royalties on net DSE Territory sales.</w:t>
      </w:r>
    </w:p>
    <w:p>
      <w:pPr>
        <w:spacing w:after="0" w:line="187" w:lineRule="exact"/>
        <w:rPr>
          <w:sz w:val="20"/>
          <w:szCs w:val="20"/>
          <w:color w:val="auto"/>
        </w:rPr>
      </w:pPr>
    </w:p>
    <w:p>
      <w:pPr>
        <w:ind w:right="740"/>
        <w:spacing w:after="0" w:line="266" w:lineRule="auto"/>
        <w:rPr>
          <w:sz w:val="20"/>
          <w:szCs w:val="20"/>
          <w:color w:val="auto"/>
        </w:rPr>
      </w:pPr>
      <w:r>
        <w:rPr>
          <w:rFonts w:ascii="Times New Roman" w:cs="Times New Roman" w:eastAsia="Times New Roman" w:hAnsi="Times New Roman"/>
          <w:sz w:val="18"/>
          <w:szCs w:val="18"/>
          <w:color w:val="auto"/>
        </w:rPr>
        <w:t>The agreement calls for both parties to participate in a Joint Collaboration Committee (the “DSE JCC”). The DSE JCC is comprised of executive management from each company and the Company will lead in all aspects related to development and DSE will lead in all aspects related to commercialization in the DSE Territory.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the three and six months ended June 30, 2022, the Company recognized collaboration revenue of approximately $5.0 million and $10.3 million, respectively, and in the three and six months ended June 30, 2021, the Company recognized collaboration revenue of $2.0 million and $3.6 million, respectively, related to royalty revenue from DSE from the sales of NILEMDO and NUSTENDI as well as the sales of bulk tablets to DSE pursuant to the supply agreement that was executed with DSE.</w:t>
      </w:r>
    </w:p>
    <w:p>
      <w:pPr>
        <w:spacing w:after="0" w:line="18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All remaining future potential milestone amounts were not included in the transaction price, as they were all determined to be fully constrained following the concepts of ASC 606 due to the fact that such amounts hinge on development activities, regulatory approvals and sales-based milestones. Additionally, the Company expects that any consideration related to sales-based milestones will be recognized when the subsequent sales occur.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Otsuka Agreement Terms</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April 17, 2020, the Company entered into a license and collaboration agreement (the "Otsuka Agreement") with Otsuka. Pursuant to the Otsuka Agreement, the Company granted Otsuka exclusive development and commercialization rights to NEXLETOL and NEXLIZET in Japan. Otsuka will be responsible for all development, regulatory, and commercialization activities in Japan. In addition, Otsuka will fund all clinical development costs associated with the program in Japan.</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Pursuant to the agreement, the consideration consists of a $60.0 million upfront cash payment and the Company will be eligible to receive additional payments of up to $450.0 million if certain regulatory and commercial milestones are achieved by Otsuka. The potential future milestone payments include up to $20.0 million upon first JNDA submissions in the Otsuka Territory, up to $70.0 million upon the first NHI Price Listing for NEXLETOL in the Otsuka Territory, and up to $50.0 million upon the achievement of the primary major adverse cardiovascular events (“MACE”) in the CLEAR Outcomes study and the CV risk reduction rate on the U.S. label, depending on the range of relative risk reduction in the CLEAR Outcomes study. In addition, the Company is eligible to receive additional sales milestone payments up to $310.0 million related to total net sales achievements for Otsuka in Japan. Finally, the Company will receive tiered fifteen percent (15%) to thirty percent (30%) royalties on net sales in Japan.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Company considered the guidance under ASC 606 and concluded that the agreement was in the scope of ASC 606. The Company did not have any collaboration revenue from the Otsuka Agreement during the six months ended June 30, 2022 and 2021.</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All future potential milestone amounts were not included in the transaction price, as they were all determined to be fully constrained following the concepts of ASC 606 due to the fact that such amounts hinge on development activities, regulatory approvals and sales-based milestones. Additionally, the Company expects that any consideration related to royalties and sales-based milestones will be recognized when the subsequent sales occur.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 yet recognized any revenue for milestone payments as the related regulatory and commercial milestones have not yet been achieved.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DS Agreement Terms</w:t>
      </w:r>
    </w:p>
    <w:p>
      <w:pPr>
        <w:spacing w:after="0" w:line="216"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8"/>
          <w:szCs w:val="18"/>
          <w:color w:val="auto"/>
        </w:rPr>
        <w:t>In April 2021, the Company entered into a license and collaboration agreement with Daiichi Sankyo Co. Ltd (the "DS Agreement"). Pursuant to the DS Agreement, the Company granted DS exclusive rights to develop and commercialize bempedoic acid and the bempedoic acid / ezetimibe combination tablet in South Korea, Taiwan, Hong Kong, Thailand, Vietnam, Brazil, Macao, Cambodia and Myanmar (collectively the "DS Territory"). The agreement allows for potential expansion across geographies including Saudi Arabia, Kuwait, Oman, UAE, Qatar, Bahrain, Yemen, Colombia and other Latin American countries. Except for certain development activities in South Korea and Taiwan, DS will be responsible for development and commercialization in these territories. In addition, DS will fund all development costs associated with the program in the DS Territory. Pursuant to the agreement, the consideration consists of a $30.0 million upfront cash payment that is non-refundable, non-reimbursable and non-creditable. The Company also will be eligible to receive additional one-time payments of up to $175.0 million if certain commercial milestones are achieved by DS. Also, the Company will receive tiered royalties of five percent (5%) to twenty percent (20%) of net sales in the DS Territory.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Company considered the guidance under ASC 606 and concluded that the agreement was in the scope of ASC 606. The Company concluded that the upfront payment of $30.0 million should be included in the transaction price and related to the following performance obligations under the agreement: 1) the license to the Company’s intellectual property and 2) the obligation to provide ongoing development activities. The Company used the adjusted market assessment approach in determining the standalone selling price of the Company’s intellectual property and the expected cost plus margin approach in determining the standalone selling price of the Company’s obligation to provide ongoing development activities. Accordingly, for the three and six months ended June 30, 2021, the Company recognized $28.1 million of collaboration revenue related to the $30.0 million upfront payment, consisting of</w:t>
      </w:r>
    </w:p>
    <w:p>
      <w:pPr>
        <w:spacing w:after="0" w:line="5"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7"/>
          <w:szCs w:val="17"/>
          <w:color w:val="auto"/>
        </w:rPr>
        <w:t>$28.0 million related to the performance obligations for the license to the Company’s intellectual property and $0.1 million related to ongoing regulatory and development activities conducted during the period ended June 30, 2021. During the year ended December 31, 2021, the Company recognized</w:t>
      </w:r>
    </w:p>
    <w:p>
      <w:pPr>
        <w:spacing w:after="0" w:line="250" w:lineRule="auto"/>
        <w:rPr>
          <w:sz w:val="20"/>
          <w:szCs w:val="20"/>
          <w:color w:val="auto"/>
        </w:rPr>
      </w:pPr>
      <w:r>
        <w:rPr>
          <w:rFonts w:ascii="Times New Roman" w:cs="Times New Roman" w:eastAsia="Times New Roman" w:hAnsi="Times New Roman"/>
          <w:sz w:val="18"/>
          <w:szCs w:val="18"/>
          <w:color w:val="auto"/>
        </w:rPr>
        <w:t>$28.5 million of collaboration revenue related to the $30.0 million upfront payment. The $28.5 million relates to the performance obligations for the license to the Company’s intellectual property and a portion of ongoing regulatory and development activities conducted during the year ended December 31, 2021, in the amounts of $28.0 million and $0.5 million, respectively. For the three and six months ended June 30, 2022, the Company recognized $0.2 million and $0.4 million, respectively, of collaboration revenue related to the ongoing regulatory and development activities. The remaining</w:t>
      </w:r>
    </w:p>
    <w:p>
      <w:pPr>
        <w:spacing w:after="0" w:line="2" w:lineRule="exact"/>
        <w:rPr>
          <w:sz w:val="20"/>
          <w:szCs w:val="20"/>
          <w:color w:val="auto"/>
        </w:rPr>
      </w:pPr>
    </w:p>
    <w:p>
      <w:pPr>
        <w:jc w:val="both"/>
        <w:ind w:right="140"/>
        <w:spacing w:after="0" w:line="260" w:lineRule="auto"/>
        <w:rPr>
          <w:sz w:val="20"/>
          <w:szCs w:val="20"/>
          <w:color w:val="auto"/>
        </w:rPr>
      </w:pPr>
      <w:r>
        <w:rPr>
          <w:rFonts w:ascii="Times New Roman" w:cs="Times New Roman" w:eastAsia="Times New Roman" w:hAnsi="Times New Roman"/>
          <w:sz w:val="18"/>
          <w:szCs w:val="18"/>
          <w:color w:val="auto"/>
        </w:rPr>
        <w:t>$1.1 million of the upfront payment was deferred as of June 30, 2022 due to an on-going performance obligation related to the developmental activities in South Korea and Taiwan. This deferred revenue will be recognized ratably over the period leading up to the completion of these developmental activities.</w:t>
      </w:r>
    </w:p>
    <w:p>
      <w:pPr>
        <w:spacing w:after="0" w:line="18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All future potential milestone amounts were not included in the transaction price, as they were all determined to be fully constrained following the concepts of ASC 606 due to the fact that such amounts hinge on development activities, regulatory approvals and sales-based milestones. Additionally, the Company expects that any consideration related to royalties and sales-based milestones will be recognized when the subsequent sales occur.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Inventories,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net consist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Pr>
          <w:p>
            <w:pPr>
              <w:spacing w:after="0"/>
              <w:rPr>
                <w:sz w:val="16"/>
                <w:szCs w:val="16"/>
                <w:color w:val="auto"/>
              </w:rPr>
            </w:pPr>
          </w:p>
        </w:tc>
        <w:tc>
          <w:tcPr>
            <w:tcW w:w="14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31,850</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w:t>
            </w:r>
          </w:p>
        </w:tc>
      </w:tr>
      <w:tr>
        <w:trPr>
          <w:trHeight w:val="223"/>
        </w:trPr>
        <w:tc>
          <w:tcPr>
            <w:tcW w:w="78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29,232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34,394</w:t>
            </w:r>
          </w:p>
        </w:tc>
      </w:tr>
      <w:tr>
        <w:trPr>
          <w:trHeight w:val="21"/>
        </w:trPr>
        <w:tc>
          <w:tcPr>
            <w:tcW w:w="7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Commitments and Contingencies</w:t>
      </w:r>
    </w:p>
    <w:p>
      <w:pPr>
        <w:spacing w:after="0" w:line="216"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 xml:space="preserve">On January 12, 2016, a purported stockholder of the Company filed a putative class action lawsuit in the United States District Court for the Eastern District of Michigan, against the Company and Tim Mayleben, captioned </w:t>
      </w:r>
      <w:r>
        <w:rPr>
          <w:rFonts w:ascii="Times New Roman" w:cs="Times New Roman" w:eastAsia="Times New Roman" w:hAnsi="Times New Roman"/>
          <w:sz w:val="18"/>
          <w:szCs w:val="18"/>
          <w:i w:val="1"/>
          <w:iCs w:val="1"/>
          <w:color w:val="auto"/>
        </w:rPr>
        <w:t>Kevin L. Dougherty v. Esperion Therapeutics, Inc., et al.</w:t>
      </w:r>
      <w:r>
        <w:rPr>
          <w:rFonts w:ascii="Times New Roman" w:cs="Times New Roman" w:eastAsia="Times New Roman" w:hAnsi="Times New Roman"/>
          <w:sz w:val="18"/>
          <w:szCs w:val="18"/>
          <w:color w:val="auto"/>
        </w:rPr>
        <w:t xml:space="preserve"> (No. 16-cv-10089). The lawsuit alleges that the Company and Mr. Mayleben violated Sections 10(b) and 20(a) of the Securities Exchange Act of 1934 and SEC Rule 10b-5 by allegedly failing to disclose in an August 17, 2015, public statement that the FDA would require a cardiovascular outcomes trial before approving the Company’s lead product candidate. The lawsuit seeks, among other things, compensatory damages in connection with an allegedly inflated stock price between August 18, 2015, and September 28, 2015, as well as attorneys’ fees and costs. On March 12, 2021, the parties agreed to a settlement in principle of the securities class action, and on April 26, 2021, the parties entered into a stipulation of settlement to resolve all legal claims, in which defendants expressly deny that they have committed any act or omission giving rise to any liability under Section 10(b) of the Securities Exchange Act of 1934. Under the terms of the stipulation of settlement, which the court approved on August 24, 2021, the Company and certain of the Company's insurance carriers caused a payment of $18.25 million to be made to the plaintiff class. As a result of this settlement agreement, the Company recorded a loss on settlement of $13.25 million during the three months ended March 31, 2021 in selling, general, and administrative expenses on the statements of operations and comprehensive loss, which represents the litigation settlement of $18.25 million offset by $5.0 million in insurance claim proceeds from our insurance carriers.</w:t>
      </w:r>
    </w:p>
    <w:p>
      <w:pPr>
        <w:spacing w:after="0" w:line="23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Company’s contractual obligations and commitments and contingencies outside the ordinary course of business from those previously disclosed in the Company’s Annual Report on Form 10-K for the fiscal year ended December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cash equivalents, restricted cash, and short-term investments (in thousands):</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1"/>
                <w:szCs w:val="11"/>
                <w:color w:val="auto"/>
              </w:rPr>
            </w:pPr>
          </w:p>
        </w:tc>
        <w:tc>
          <w:tcPr>
            <w:tcW w:w="1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40" w:type="dxa"/>
            <w:vAlign w:val="bottom"/>
          </w:tcPr>
          <w:p>
            <w:pPr>
              <w:spacing w:after="0"/>
              <w:rPr>
                <w:sz w:val="11"/>
                <w:szCs w:val="11"/>
                <w:color w:val="auto"/>
              </w:rPr>
            </w:pPr>
          </w:p>
        </w:tc>
        <w:tc>
          <w:tcPr>
            <w:tcW w:w="1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40" w:type="dxa"/>
            <w:vAlign w:val="bottom"/>
          </w:tcPr>
          <w:p>
            <w:pPr>
              <w:spacing w:after="0"/>
              <w:rPr>
                <w:sz w:val="11"/>
                <w:szCs w:val="11"/>
                <w:color w:val="auto"/>
              </w:rPr>
            </w:pPr>
          </w:p>
        </w:tc>
        <w:tc>
          <w:tcPr>
            <w:tcW w:w="1180" w:type="dxa"/>
            <w:vAlign w:val="bottom"/>
          </w:tcPr>
          <w:p>
            <w:pPr>
              <w:jc w:val="center"/>
              <w:ind w:right="198"/>
              <w:spacing w:after="0" w:line="12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center"/>
              <w:ind w:right="198"/>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7"/>
                <w:szCs w:val="17"/>
                <w:color w:val="auto"/>
              </w:rPr>
            </w:pPr>
          </w:p>
        </w:tc>
        <w:tc>
          <w:tcPr>
            <w:tcW w:w="14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7"/>
                <w:szCs w:val="17"/>
                <w:color w:val="auto"/>
              </w:rPr>
            </w:pPr>
          </w:p>
        </w:tc>
        <w:tc>
          <w:tcPr>
            <w:tcW w:w="118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6"/>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 and restricted cash:</w:t>
            </w: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116,505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116,505</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treasury notes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62,905</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180,107</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179,810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2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1"/>
                <w:szCs w:val="11"/>
                <w:color w:val="auto"/>
              </w:rPr>
            </w:pP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40" w:type="dxa"/>
            <w:vAlign w:val="bottom"/>
          </w:tcPr>
          <w:p>
            <w:pPr>
              <w:spacing w:after="0"/>
              <w:rPr>
                <w:sz w:val="11"/>
                <w:szCs w:val="11"/>
                <w:color w:val="auto"/>
              </w:rPr>
            </w:pPr>
          </w:p>
        </w:tc>
        <w:tc>
          <w:tcPr>
            <w:tcW w:w="1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40" w:type="dxa"/>
            <w:vAlign w:val="bottom"/>
          </w:tcPr>
          <w:p>
            <w:pPr>
              <w:spacing w:after="0"/>
              <w:rPr>
                <w:sz w:val="11"/>
                <w:szCs w:val="11"/>
                <w:color w:val="auto"/>
              </w:rPr>
            </w:pPr>
          </w:p>
        </w:tc>
        <w:tc>
          <w:tcPr>
            <w:tcW w:w="1200" w:type="dxa"/>
            <w:vAlign w:val="bottom"/>
          </w:tcPr>
          <w:p>
            <w:pPr>
              <w:jc w:val="center"/>
              <w:ind w:right="198"/>
              <w:spacing w:after="0" w:line="12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98"/>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7"/>
                <w:szCs w:val="17"/>
                <w:color w:val="auto"/>
              </w:rPr>
            </w:pPr>
          </w:p>
        </w:tc>
        <w:tc>
          <w:tcPr>
            <w:tcW w:w="13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7"/>
                <w:szCs w:val="17"/>
                <w:color w:val="auto"/>
              </w:rPr>
            </w:pPr>
          </w:p>
        </w:tc>
        <w:tc>
          <w:tcPr>
            <w:tcW w:w="120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6"/>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188,734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center"/>
              <w:ind w:left="776"/>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188,734</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left="776"/>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treasury notes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836"/>
              <w:spacing w:after="0"/>
              <w:rPr>
                <w:sz w:val="20"/>
                <w:szCs w:val="20"/>
                <w:color w:val="auto"/>
              </w:rPr>
            </w:pPr>
            <w:r>
              <w:rPr>
                <w:rFonts w:ascii="Times New Roman" w:cs="Times New Roman" w:eastAsia="Times New Roman" w:hAnsi="Times New Roman"/>
                <w:sz w:val="18"/>
                <w:szCs w:val="18"/>
                <w:color w:val="auto"/>
                <w:w w:val="99"/>
              </w:rPr>
              <w:t>(31)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50,441</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239,606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center"/>
              <w:ind w:left="836"/>
              <w:spacing w:after="0"/>
              <w:rPr>
                <w:sz w:val="20"/>
                <w:szCs w:val="20"/>
                <w:color w:val="auto"/>
              </w:rPr>
            </w:pPr>
            <w:r>
              <w:rPr>
                <w:rFonts w:ascii="Times New Roman" w:cs="Times New Roman" w:eastAsia="Times New Roman" w:hAnsi="Times New Roman"/>
                <w:sz w:val="18"/>
                <w:szCs w:val="18"/>
                <w:color w:val="auto"/>
                <w:w w:val="99"/>
              </w:rPr>
              <w:t>(31)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239,575</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June 30, 2022, other income, net in the statements of operations includes interest income on investments of $0.4 million and $0.7 million, respectively. During the three and six months ended June 30, 2021, other income, net in the statements of operations includes interest income on investments of less than $0.1 million and less than $0.1 million, respectively. During the three and six months ended June 30, 2022, other income, net in the statements of operations includes amortization of premiums and discounts on investments of $0.2 million and $0.4 million, respectively. There was no amortization of premiums and discounts on investments for the three and six months ended June 30, 2021.</w:t>
      </w:r>
    </w:p>
    <w:p>
      <w:pPr>
        <w:spacing w:after="0" w:line="183"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There were no unrealized gains or losses on investments reclassified from accumulated other comprehensive income (loss) to other income in the statements of operations during the three and six months ended June 30, 2022 and 2021.</w:t>
      </w:r>
    </w:p>
    <w:p>
      <w:pPr>
        <w:spacing w:after="0" w:line="162"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In the three and six months ended June 30, 2022, there were no allowances for credit losses and all unrealized gains (losses) for available-for-sale securities were recognized in accumulated other comprehensive income (loss). As of June 30, 2022, the Company had $0.2 million of accrued interest receivables.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follows accounting guidance that emphasizes that fair value is a market-based measurement, not an entity-specific measurement. Fair value is defined as “the price that would be received to sell an asset or paid to transfer a liability in an orderly transaction between market participants at the measurement date.” Fair value measurements are defined on a three level hierarchy: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1 inputs:</w:t>
            </w:r>
          </w:p>
        </w:tc>
        <w:tc>
          <w:tcPr>
            <w:tcW w:w="9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Quoted prices for identical assets or liabilities in active markets;</w:t>
            </w:r>
          </w:p>
        </w:tc>
      </w:tr>
      <w:tr>
        <w:trPr>
          <w:trHeight w:val="346"/>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2 inputs:</w:t>
            </w:r>
          </w:p>
        </w:tc>
        <w:tc>
          <w:tcPr>
            <w:tcW w:w="9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Observable inputs other than Level 1 prices, such as quoted market prices for similar assets or liabilities or other inputs that are</w:t>
            </w:r>
          </w:p>
        </w:tc>
      </w:tr>
      <w:tr>
        <w:trPr>
          <w:trHeight w:val="234"/>
        </w:trPr>
        <w:tc>
          <w:tcPr>
            <w:tcW w:w="1560" w:type="dxa"/>
            <w:vAlign w:val="bottom"/>
          </w:tcPr>
          <w:p>
            <w:pPr>
              <w:spacing w:after="0"/>
              <w:rPr>
                <w:sz w:val="20"/>
                <w:szCs w:val="20"/>
                <w:color w:val="auto"/>
              </w:rPr>
            </w:pPr>
          </w:p>
        </w:tc>
        <w:tc>
          <w:tcPr>
            <w:tcW w:w="9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observable or can be corroborated by market data; and</w:t>
            </w:r>
          </w:p>
        </w:tc>
      </w:tr>
      <w:tr>
        <w:trPr>
          <w:trHeight w:val="346"/>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3 inputs:</w:t>
            </w:r>
          </w:p>
        </w:tc>
        <w:tc>
          <w:tcPr>
            <w:tcW w:w="9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Unobservable inputs that are supported by little or no market activity and require the reporting entity to develop assumptions</w:t>
            </w:r>
          </w:p>
        </w:tc>
      </w:tr>
      <w:tr>
        <w:trPr>
          <w:trHeight w:val="234"/>
        </w:trPr>
        <w:tc>
          <w:tcPr>
            <w:tcW w:w="1560" w:type="dxa"/>
            <w:vAlign w:val="bottom"/>
          </w:tcPr>
          <w:p>
            <w:pPr>
              <w:spacing w:after="0"/>
              <w:rPr>
                <w:sz w:val="20"/>
                <w:szCs w:val="20"/>
                <w:color w:val="auto"/>
              </w:rPr>
            </w:pPr>
          </w:p>
        </w:tc>
        <w:tc>
          <w:tcPr>
            <w:tcW w:w="9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that market participants would use when pricing the asset or liability.</w:t>
            </w:r>
          </w:p>
        </w:tc>
      </w:tr>
      <w:tr>
        <w:trPr>
          <w:trHeight w:val="864"/>
        </w:trPr>
        <w:tc>
          <w:tcPr>
            <w:tcW w:w="1560" w:type="dxa"/>
            <w:vAlign w:val="bottom"/>
          </w:tcPr>
          <w:p>
            <w:pPr>
              <w:spacing w:after="0"/>
              <w:rPr>
                <w:sz w:val="24"/>
                <w:szCs w:val="24"/>
                <w:color w:val="auto"/>
              </w:rPr>
            </w:pPr>
          </w:p>
        </w:tc>
        <w:tc>
          <w:tcPr>
            <w:tcW w:w="968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14</w:t>
            </w:r>
          </w:p>
        </w:tc>
      </w:tr>
      <w:tr>
        <w:trPr>
          <w:trHeight w:val="115"/>
        </w:trPr>
        <w:tc>
          <w:tcPr>
            <w:tcW w:w="1560" w:type="dxa"/>
            <w:vAlign w:val="bottom"/>
            <w:tcBorders>
              <w:bottom w:val="single" w:sz="8" w:color="9A9A9A"/>
            </w:tcBorders>
          </w:tcPr>
          <w:p>
            <w:pPr>
              <w:spacing w:after="0"/>
              <w:rPr>
                <w:sz w:val="10"/>
                <w:szCs w:val="10"/>
                <w:color w:val="auto"/>
              </w:rPr>
            </w:pPr>
          </w:p>
        </w:tc>
        <w:tc>
          <w:tcPr>
            <w:tcW w:w="9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Company’s financial assets that have been measured at fair value on a recurring basis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2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1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5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jc w:val="center"/>
              <w:ind w:right="3120"/>
              <w:spacing w:after="0"/>
              <w:rPr>
                <w:sz w:val="20"/>
                <w:szCs w:val="20"/>
                <w:color w:val="auto"/>
              </w:rPr>
            </w:pPr>
            <w:r>
              <w:rPr>
                <w:rFonts w:ascii="Times New Roman" w:cs="Times New Roman" w:eastAsia="Times New Roman" w:hAnsi="Times New Roman"/>
                <w:sz w:val="18"/>
                <w:szCs w:val="18"/>
                <w:color w:val="auto"/>
                <w:w w:val="99"/>
              </w:rPr>
              <w:t>U.S. treasury notes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62,905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188,734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188,734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jc w:val="center"/>
              <w:ind w:right="316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jc w:val="center"/>
              <w:ind w:right="3120"/>
              <w:spacing w:after="0"/>
              <w:rPr>
                <w:sz w:val="20"/>
                <w:szCs w:val="20"/>
                <w:color w:val="auto"/>
              </w:rPr>
            </w:pPr>
            <w:r>
              <w:rPr>
                <w:rFonts w:ascii="Times New Roman" w:cs="Times New Roman" w:eastAsia="Times New Roman" w:hAnsi="Times New Roman"/>
                <w:sz w:val="18"/>
                <w:szCs w:val="18"/>
                <w:color w:val="auto"/>
                <w:w w:val="99"/>
              </w:rPr>
              <w:t>U.S. treasury notes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239,575</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239,575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Levels 1, 2 or 3 during the three and six months ended June 30, 2022 and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Liability Related to the Revenue Interest Purchase Agreement</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June 26, 2019, the Company entered into a RIPA with Oberland, as agent for purchasers party thereto (the “Purchasers”), and the Purchasers named therein, to obtain financing in respect to the commercialization and further development of bempedoic acid and the bempedoic acid / ezetimibe combination tablet and other working capital needs. Pursuant to the RIPA, the Company received $125.0 million at closing, less certain issuance costs. The Company was entitled to receive up to approximately $75.0 million in subsequent installments subject to the terms and conditions set forth in the RIPA: (i) $25.0 million upon certain regulatory approval of its product candidates and (ii) $50.0 million, at the Company’s option, upon reaching $100.0 million trailing worldwide six-month net sales any time prior to December 31, 2021 (the “Third Payment”). In March 2020, the Company received $25.0 million from Oberland upon receiving regulatory approval of NEXLETOL.</w:t>
      </w:r>
    </w:p>
    <w:p>
      <w:pPr>
        <w:spacing w:after="0" w:line="17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As consideration for such payments, the Purchasers will have a right to receive certain revenue interests (the “Revenue Interests”) from the Company based upon net sales of the Company’s certain products, once approved, which will be tiered payments initially ranging from 2.5% to 7.5% of the Company’s net sales in the covered territory (the “Covered Territory”); provided that (a) if annual net sales equal or exceed $350.0 million by December 31, 2021 (the “Sales Threshold”), the initially tiered revenue interest rate will be decreased to a single rate of 2.5% of the Company’s net sales in the Covered Territory, beginning on January 1, 2022, and (b) if annual net sales equal or exceed the Sales Threshold and if the Purchasers receive 100% of their invested capital by December 31, 2024, the revenue interest rate will be decreased to a single rate of 0.4% of the Company’s net sales in the Covered Territory beginning on January 1, 2025. If the Third Payment is drawn down by the Company, the applicable royalty rates will increase by one-third. The Covered Territory is the United States, but is subject to expand to include the world-wide net sales if the Company’s annual U.S. net sales are less than $350.0 million for the year ended December 31, 2021. The U.S. net sales milestone thresholds are not to be taken as financial guidance. The Purchasers’ rights to receive the Revenue Interests shall terminate on the date on which the Purchasers have received Revenue Interests payments of 195% of the then aggregate purchase price (the “Cumulative Purchaser Payments”) paid to the Company, unless the RIPA is terminated earlier.</w:t>
      </w:r>
    </w:p>
    <w:p>
      <w:pPr>
        <w:spacing w:after="0" w:line="23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Under the RIPA, the Company has an option (the “Call Option”) to terminate the RIPA and repurchase future Revenue Interests at any time upon advance written notice. Additionally, the Purchasers have an option (the “Put Option”) to terminate the RIPA and to require the Company to repurchase future Revenue Interests upon enumerated events such as a bankruptcy event, an uncured material breach, a material adverse effect or a change of control. If the Put Option is exercised prior to the first anniversary of the closing date by the Purchasers (except pursuant to a change of control), the required repurchase price will be 120% of the Cumulative Purchaser Payments (minus all payments Company has made to the Purchasers in connection with the Revenue Interests). In all other cases, if the Put Option or the Call Option are exercised, the required repurchase price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will be 175% of the Cumulative Purchaser Payments (minus all payments Company has made to the Purchasers in connection with the Revenue Interests), if such option is exercised prior to the third anniversary of the closing date, and 195% of the Cumulative Purchaser Payments (minus all payments Company has made to the Purchasers in connection with the Revenue Interests), if such option is exercised thereafter.</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addition, the RIPA contains various representations and warranties, information rights, non-financial covenants, indemnification obligations and other provisions that are customary for a transaction of this nature.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RIPA Amendments</w:t>
      </w:r>
    </w:p>
    <w:p>
      <w:pPr>
        <w:spacing w:after="0" w:line="24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On April 26, 2021, the Company entered into Amendment No. 2 (the “RIPA Amendment”) to the RIPA with Oberland, as agent for the purchaser parties thereto. Pursuant to the RIPA Amendment, Oberland waived the original trailing six-month world-wide net sales condition to the third installment payment under the RIPA and released the final $50 million payment payable to the Company under the terms of the RIPA. The Company and Oberland also agreed to amend additional terms of the RIPA such that the purchasers will have a right to receive certain revenue interests (the “Revenue Interests”) from the Company based on net sales of the Company’s certain products, once approved, which will be tiered payments ranging from 3.33% to 10% (the “Third Payment Applicable Percentage”) of the Company’s net sales in the covered territory (the “Covered Territory”); provided that (a) prior to December 31, 2024, with respect to each country defined in the Daiichi Territory, if the percentage of net sales that Company receives from Daiichi (the “Receivables Percentage”) is less than the Third Payment Applicable Percentage, then the Revenue Interest for such country payable to the purchasers will be equal to the Receivables Percentages, (b) if annual net sales equal or exceed $350 million and if the Purchasers receive 100% of their invested capital ( "Cumulative Purchaser Payments") by December 31, 2024, the revenue interest rate will be decreased to a single rate of 3.33% of the Company’s net sales in the Covered Territory for all subsequent calendar quarters and (c) if the Purchasers receive Revenue Interest payments less than 100% of Cumulative Purchaser Payments by December 31, 2024, the Third Payment Applicable Percentage will be increased to a single rate of the Company’s net sales that would have provided 100% of Cumulative Purchaser Payments had such rate applied from the initial funding by the Purchasers. The Covered Territory was originally the United States, but has been expanded to worldwide for all calendar years beginning on or after January 1, 2022.</w:t>
      </w:r>
    </w:p>
    <w:p>
      <w:pPr>
        <w:spacing w:after="0" w:line="215"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Under the RIPA Amendment, the Company has an option (the “Call Option”) to terminate the RIPA and repurchase future Revenue Interests at any time upon advance written notice. Additionally, the Purchasers have an option (the “Put Option”) to terminate the RIPA and to require the Company to repurchase future Revenue Interests upon enumerated events such as a bankruptcy event, an uncured material breach, a material adverse effect or a change of control. If the Put Option or the Call Option are exercised, the required repurchase price will be 200% of the Cumulative Purchaser Payments (minus all payments Company has made to the Purchasers in connection with the Revenue Interests), if such option is exercised prior to the third anniversary of the closing date, and 225% of the Cumulative Purchaser Payments (minus all payments Company has made to the Purchasers in connection with the Revenue Interests), if such option is exercised thereafter.</w:t>
      </w:r>
    </w:p>
    <w:p>
      <w:pPr>
        <w:spacing w:after="0" w:line="21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On May 16, 2021, the Company entered into an Amendment to the Security Agreement and Waiver ("Amendment and Waiver") with the same parties to the Security Agreement, by and among the Company, Eiger Partners II LP (the "Purchaser") and Eiger III SA LLC (the "Purchaser Agent"), dated as of June 26, 2019 (the "Security Agreement"). Pursuant to the Amendment and Waiver, if (i) the net revenue from sales of NEXLETOL and NEXLIZET and certain other products in the United States (as reported in the Company’s financial statements as “product sales, net” in accordance with GAAP and excluding, for the avoidance of doubt, upfront or milestone payments and other collaboration revenue) (the “Specified Net Revenue”) for the calendar quarter ended September 30, 2021 does not exceed $15.0 million, or (ii) the Specified Net Revenue for any calendar quarter ending after September 30, 2021 does not exceed $15.0 million, then the Company shall deposit $50.0 million in a deposit account that is subject to a block account control agreement in favor of the Purchase Agent, no later than the earlier of (x) the date the Specified Net Revenue for such calendar quarter has been determined and (y) 45 days after the last day of such calendar quarter. Since the Specified Net Revenue for the calendar quarter ended September 30, 2021 did not exceed $15.0 million, the Company deposited $50.0 million in a deposit account that is subject to a block account control agreement, which is classified as restricted cash on the condensed balance sheets. The Purchaser Agent shall have sole dominion and control over all funds deposited in the deposited account and such funds may be withdrawn therefrom only with the consent of the Purchaser Agent. Upon the occurrence and during the continuance of a Put Option Event, the Purchaser Agent shall have the right to apply amounts held in the deposit account in payment of certain secured obligations in the manner provided for in the Security Agreement. The Amendment and Wavier does not substitute, replace or release the Pledgors from any other obligations under the RIPA or Security Agreement.</w:t>
      </w:r>
    </w:p>
    <w:p>
      <w:pPr>
        <w:spacing w:after="0" w:line="214"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In connection with the arrangement, as of June 30, 2022, the Company has recorded a liability, referred to as the “Revenue interest liability” in the condensed balance sheets, of $275.9 million, net of $0.4 million of capitalized issuance costs in connection with the RIPA, which will be amortized to interest expense over the estimated term of the RIPA. The Company imputes interest expense associated with this liability using the effective interest rate method. The effective interest rate is calculated based on the rate that would enable the debt to be repaid in full over the anticipated life of the arrangement. The</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interest rate on this liability may vary during the term of the agreement depending on a number of factors, including the level of forecasted net sales. The Company evaluates the interest rate quarterly based on its current net sales forecasts utilizing the prospective method.</w:t>
      </w:r>
    </w:p>
    <w:p>
      <w:pPr>
        <w:spacing w:after="0" w:line="20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 significant increase or decrease in net sales will materially impact the revenue interest liability, interest expense and the time period for repayment. The Company recorded approximately $11.2 million and $22.2 million in interest expense related to this arrangement for the three and six months ended June 30, 2022, respectively, and approximately $8.0 million and $12.9 million in interest expense related to this arrangement for the three and six months ended June 30, 2021, respectively.</w:t>
      </w:r>
    </w:p>
    <w:p>
      <w:pPr>
        <w:spacing w:after="0" w:line="180"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The repayment of the RIPA to Oberland does not have a fixed repayment schedule, rather it will be completely repaid and extinguished when the Company has repaid 200% of the aggregate purchase price if repaid prior to the third anniversary of the closing date, and 225% of the Cumulative Purchaser Payments thereafter, unless the RIPA is terminated earlier. Since there is not a fixed repayment schedule, the Company does not project its future repayments by year. Each period, the Company estimates the future expected sales of its products in the covered territory and determines the effective annual imputed interest rate, which updates and changes the timing of the Company’s payments. Under the terms of the agreement, every $100 million of net sales generated, less than or equal to $250 million in an annual aggregate year, would result in a repayment obligation of approximately $10.0 million or 10.0% at the stated repayment rate in the first year. Annual net sales for a calendar year exceeding $250 million would result in a repayment obligation of approximately $3.3 million or 3.3% for every $100 million of sales above the threshold. If the Company would have equaled or exceeded $350 million of sales in the U.S. in 2021, then the repayment amount would have dropped to $3.3 million for every $100 million of net sales starting in 2022. As U.S. net sales were less than $350 million for the year ended December 31, 2021, the Covered Territory was expanded to include worldwide sales beginning in 2022. The Company’s repayments of the RIPA are directly tied to the growth of its net sales, and as the Company’s net sales grow, the Company expects the related repayments of the RIPA to grow as well. The Company currently expects to repay $22.0 million in the next twelve months.</w:t>
      </w:r>
    </w:p>
    <w:p>
      <w:pPr>
        <w:spacing w:after="0" w:line="17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effective annual imputed interest rate is 16.6% as of June 30, 2022. The Company incurred $0.6 million of issuance costs in connection with the RIPA, which will be amortized to interest expense over the estimated term of the RIPA. Payments made to Oberland as a result of the Company’s net sales will reduce the revenue interest liability.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revenue interest liability activity during the six months ended June 30,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(in thousands)</w:t>
            </w:r>
          </w:p>
        </w:tc>
      </w:tr>
      <w:tr>
        <w:trPr>
          <w:trHeight w:val="23"/>
        </w:trPr>
        <w:tc>
          <w:tcPr>
            <w:tcW w:w="9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interest liability at December 31, 2021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257,039</w:t>
            </w:r>
          </w:p>
        </w:tc>
      </w:tr>
      <w:tr>
        <w:trPr>
          <w:trHeight w:val="230"/>
        </w:trPr>
        <w:tc>
          <w:tcPr>
            <w:tcW w:w="9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recognized</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22,228</w:t>
            </w:r>
          </w:p>
        </w:tc>
      </w:tr>
      <w:tr>
        <w:trPr>
          <w:trHeight w:val="229"/>
        </w:trPr>
        <w:tc>
          <w:tcPr>
            <w:tcW w:w="9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 Interests payments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w:t>
            </w:r>
          </w:p>
        </w:tc>
      </w:tr>
      <w:tr>
        <w:trPr>
          <w:trHeight w:val="22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 interest liability at June 30, 2022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275,949</w:t>
            </w:r>
          </w:p>
        </w:tc>
      </w:tr>
      <w:tr>
        <w:trPr>
          <w:trHeight w:val="21"/>
        </w:trPr>
        <w:tc>
          <w:tcPr>
            <w:tcW w:w="9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Convertible Notes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November 2020, the Company issued $280.0 million aggregate principal amount of 4.0% senior subordinated convertible notes due November 2025. The net proceeds the Company received from the offering was approximately $271.1 million, after deducting the initial purchasers’ discounts and commissions and offering expenses payable by the Company (the "Convertible Notes"). The Company used approximately $46.0 million of the net proceeds from the offering of the notes to pay the cost of the Capped Call (as defined below) and $55.0 million of the net proceeds from the offering of the initial notes to finance the Prepaid Forward (as defined below). The Convertible Notes are the Company's senior unsecured obligations and mature on November 15, 2025 (the “Maturity Date”), unless earlier repurchased or converted into shares of common stock under certain circumstances described below. The Convertible Notes are convertible into shares of the Company’s common stock, can be repurchased for cash, or a combination thereof, at the Company’s election, at an initial conversion rate of 30.2151 shares of common stock per $1,000 principal amount of the Convertible Notes, which is equivalent to an initial conversion price of approximately $33.096 per share of common stock, subject to adjustment. The Company will pay interest on the Convertible Notes semi-annually in arrears on May 15 and November 15 of each year.</w:t>
      </w:r>
    </w:p>
    <w:p>
      <w:pPr>
        <w:spacing w:after="0" w:line="19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Convertible Notes are general unsecured obligations of the Company that are subordinated in right of payment to indebtedness, obligations and other liabilities under the Company’s RIPA, the revenue interests issued pursuant to such agreement, and any refinancing of the foregoing.</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Holders may convert their Convertible Notes at their option at any time prior to the close of business on the business day immediately preceding August 15, 2025 in the following circumstances: (1) during any calendar quarter commencing after the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calendar quarter ended on March 31, 2021 (and only during such calendar quarter), if the last reported sale price per share of the Company’s common stock, par value $0.001 per share (“common stock”), is greater than or equal to 130% of the conversion price for each of at least 20 trading days, whether or not consecutive, during the 30 consecutive trading days ending on, and including, the last trading day of the immediately preceding calendar quarter; (2) during the five business days after any five consecutive trading day period (such five consecutive trading day period, the “measurement period”) in which the trading price per $1,000 principal amount of notes for each trading day of the measurement period was less than 98% of the product of the last reported sale price per share of the Company’s common stock and the conversion rate for the notes on each such trading day; (3) if the Company calls such notes for redemption, any such notes that have been called for redemption may be converted at any time prior to the close of business on the second scheduled trading day immediately preceding the redemption date, but only with respect to the notes called for redemption; and (4) upon the occurrence of specified corporate events, as provided in the Indenture. On or after August 15, 2025, to the close of business on the second scheduled trading day immediately before the maturity date, holders may convert all or any portion of their notes at the applicable conversion rate at any time at the option of the holder regardless of the foregoing conditions.</w:t>
      </w:r>
    </w:p>
    <w:p>
      <w:pPr>
        <w:spacing w:after="0" w:line="192"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In addition, following certain corporate events or following issuance of a notice of redemption, the Company will, in certain circumstances, increase the conversion rate for a holder who elects to convert its notes in connection with such a corporate event or to convert its notes called (or deemed called) for redemption during the related redemption period, as the case may be.</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Convertible Notes will be redeemable, in whole or in part, at the Company’s option at any time, and from time to time, on or after November 20, 2023 and before the 41st scheduled trading day immediately before the maturity date, at a cash redemption price equal to 100% of the principal amount of the notes to be redeemed, plus accrued and unpaid interest, if any, but only if the last reported sale price per share of the Company’s common stock has been at least 130% of the conversion price then in effect for at least 20 trading days (whether or not consecutive), including the trading day immediately preceding the date the Company sends the related redemption notice, during any 30 consecutive trading day period ending on, and including, the trading day immediately preceding the date on which the Company sends such redemption notice. No sinking fund is provided for the notes. If the Company redeems less than all the outstanding notes, at least $125.0 million aggregate principal amount of notes must be outstanding and not subject to redemption as of the relevant redemption notice date.</w:t>
      </w:r>
    </w:p>
    <w:p>
      <w:pPr>
        <w:spacing w:after="0" w:line="19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If the Company undergoes a “fundamental change” (as defined in the Indenture), holders may require the Company to repurchase their notes for cash all or any portion of their notes at a fundamental change repurchase price equal to 100% of the principal amount of the notes to be repurchased, plus accrued and unpaid interest, to, but excluding, the fundamental change repurchase date. The Indenture includes customary terms and covenants, including certain events of default.</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incurred approximately $8.9 million of issuance costs related to the issuance of the Convertible Notes, of which, prior to the adoption of Accounting Standards Update ("ASU") 2020-06 on January 1, 2021, $5.8 million and $3.1 million were allocated and recorded to long-term debt and additional paid-in capital, respectively. The $5.8 million of issuance costs recorded as long-term debt on the condensed balance sheet was to be amortized over the five-year contractual term of the Convertible Notes using the effective interest method.</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Prior to the adoption of ASU 2020-06 on January 1, 2021, the $271.1 million of proceeds received from the issuance of the Convertible Notes were allocated between long-term debt (the “liability component”) of $177.6 million and additional paid-in capital (the “equity component”) of $93.5 million. The fair value of the liability component was measured using rates determined for similar debt instruments without a conversion feature. The carrying amount of the equity component, representing the conversion option, was determined by deducting the fair value of the liability component from the aggregate face value of the Convertible Notes and was included in additional paid-in capital in the condensed balance sheet and was not remeasured as long as it did not to meet the conditions for equity classification. The liability component was to be accreted up to the face value of the Convertible Notes of $280.0 million, which resulted in additional non-cash interest expense being recognized through the Maturity Date.</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With the adoption of ASU 2020-06 as of January 1, 2021, the Company reports the convertible debt liability at the aggregate principal amount less unamortized issuance costs. This resulted in the reclassification of the $93.5 million of the Company’s convertible notes recognized at December 31, 2020 from additional paid in capital to the convertible debt liability. The portion of interest expense previously recognized for the accretion of the convertible debt liability and the true-up of the amortization of the issuance costs of $1.5 million was recorded as an adjustment to accumulated deficit.</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October 22, 2021, the Company entered into a privately negotiated exchange agreement (the “Exchange Agreement”) with two co-managed holders (the “Holders”) of its Convertible Notes. Under the terms of the Exchange Agreement the Holders agreed to exchange (the “Exchange”) with the Company $15.0 million aggregate principal amount of the Convertible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Notes held in the aggregate by them (and accrued interest thereon) for shares of the Company’s common stock. Pursuant to the Exchange Agreement, the number of shares of common stock to be issued by the Company to the Holders upon consummation of the Exchange was determined based upon the volume-weighted-average-price per share of common stock, subject to a floor of $5.62 per share, during the five trading-day averaging period, commencing on the trading day immediately following the date of the Exchange Agreement. The Exchange closed on November 3, 2021, with 1,094,848 shares of the Company's common stock being exchanged.</w:t>
      </w:r>
    </w:p>
    <w:p>
      <w:pPr>
        <w:spacing w:after="0" w:line="17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As of June 30, 2022, the principal amount of convertible notes was $265.0 million, and the unamortized debt discount and issuance costs were $5.9 million, for a net carrying amount of $259.1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$3.1 million and $6.1 million of interest expense during the three and six months ended June 30, 2022, respectively, and</w:t>
      </w:r>
    </w:p>
    <w:p>
      <w:pPr>
        <w:spacing w:after="0" w:line="2" w:lineRule="exact"/>
        <w:rPr>
          <w:sz w:val="20"/>
          <w:szCs w:val="20"/>
          <w:color w:val="auto"/>
        </w:rPr>
      </w:pPr>
    </w:p>
    <w:p>
      <w:pPr>
        <w:ind w:right="420"/>
        <w:spacing w:after="0" w:line="233" w:lineRule="auto"/>
        <w:rPr>
          <w:sz w:val="20"/>
          <w:szCs w:val="20"/>
          <w:color w:val="auto"/>
        </w:rPr>
      </w:pPr>
      <w:r>
        <w:rPr>
          <w:rFonts w:ascii="Times New Roman" w:cs="Times New Roman" w:eastAsia="Times New Roman" w:hAnsi="Times New Roman"/>
          <w:sz w:val="18"/>
          <w:szCs w:val="18"/>
          <w:color w:val="auto"/>
        </w:rPr>
        <w:t>$3.2 million and $6.4 million of interest expense during the three and six months ended June 30, 2021, respectively, relating to the cash interest on the convertible notes due semi-annually and amortization of the debt issuance costs.</w:t>
      </w:r>
    </w:p>
    <w:p>
      <w:pPr>
        <w:spacing w:after="0" w:line="199" w:lineRule="exact"/>
        <w:rPr>
          <w:sz w:val="20"/>
          <w:szCs w:val="20"/>
          <w:color w:val="auto"/>
        </w:rPr>
      </w:pPr>
    </w:p>
    <w:p>
      <w:pPr>
        <w:jc w:val="both"/>
        <w:ind w:right="120"/>
        <w:spacing w:after="0" w:line="242" w:lineRule="auto"/>
        <w:rPr>
          <w:sz w:val="20"/>
          <w:szCs w:val="20"/>
          <w:color w:val="auto"/>
        </w:rPr>
      </w:pPr>
      <w:r>
        <w:rPr>
          <w:rFonts w:ascii="Times New Roman" w:cs="Times New Roman" w:eastAsia="Times New Roman" w:hAnsi="Times New Roman"/>
          <w:sz w:val="18"/>
          <w:szCs w:val="18"/>
          <w:color w:val="auto"/>
        </w:rPr>
        <w:t>As of June 30, 2022, no Convertible Notes were convertible pursuant to their terms. The estimated fair value of the Convertible Notes was $147.7 million as of June 30, 2022 and $140.3 million as of December 31, 2021. The estimated fair value of the Convertible Notes was determined through consideration of quoted market prices. As of June 30, 2022, the if-converted value of the Convertible Notes did not exceed the principal value of those notes.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Capped Call Transactions</w:t>
      </w:r>
    </w:p>
    <w:p>
      <w:pPr>
        <w:spacing w:after="0" w:line="2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connection with the offering of the Convertible Notes, the Company entered into privately-negotiated capped call transactions with one of the initial purchasers of the convertible notes or its affiliate and certain other financial institutions. The Company used approximately $46.0 million of the net proceeds from the offering of the Convertible Notes to pay the cost of the capped call transactions. The capped call transactions are expected generally to reduce potential dilution to the Company’s common stock upon any conversion of the Convertible Notes and/or offset any cash payments the Company is required to make in excess of the principal amount of converted notes, as the case may be, in the event that the market value per share of the Company’s common stock, as measured under the terms of the capped call transactions at the time of exercise, is greater than the strike price of the capped call transactions (which initially corresponds to the initial conversion price of the Convertible Notes, and is subject to certain adjustments), with such reduction and/or offset subject to a cap initially equal to approximately $55.16 (which represents a premium of approximately 100% over the last reported sale price of the Company’s common stock on November 11, 2020), subject to certain adjustments. The capped call transactions are separate transactions, entered into by the Company and are not part of the terms of the Convertible Notes.</w:t>
      </w:r>
    </w:p>
    <w:p>
      <w:pPr>
        <w:spacing w:after="0" w:line="19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Given that the transactions meet certain accounting criteria, the convertible note capped call transactions are recorded in stockholders’ equity, and they are not accounted for as derivatives and are not remeasured each reporting period. As of June 30, 2022 and December 31, 2021, the Company had not purchased any shares under the convertible note capped call transactions.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Prepaid Forward</w:t>
      </w:r>
    </w:p>
    <w:p>
      <w:pPr>
        <w:spacing w:after="0" w:line="2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connection with the offering of the Convertible Notes, the Company entered into a prepaid forward stock repurchase transaction (“Prepaid Forward”) with a financial institution (“Forward Counterparty”). Pursuant to the Prepaid Forward, the Company used approximately $55.0 million of the net proceeds from the offering of the Convertible Notes to fund the Prepaid Forward. The aggregate number of shares of the Company’s common stock underlying the Prepaid Forward was approximately 1,994,198. The expiration date for the Prepaid Forward is November 15, 2025, although it may be settled earlier in whole or in part. Upon settlement of the Prepaid Forward, at expiration or upon any early settlement, the Forward Counterparty will deliver to the Company the number of shares of common stock underlying the Prepaid Forward or the portion thereof being settled early. The shares purchased under the Prepaid Forward are treated as treasury stock and not outstanding for purposes of the calculation of basic and diluted earnings per share, but will remain outstanding for corporate law purposes, including for purposes of any future stockholders’ votes, until the Forward Counterparty delivers the shares underlying the Prepaid Forward to the Company. As of June 30, 2022, 71,174 shares had been delivered to the Company. The Company’s Prepaid Forward hedge transaction exposes the Company to credit risk to the extent that its counterparty may be unable to meet the terms of the transaction. The Company mitigates this risk by limiting its counterparty to a major financial institution.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Other Accrued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accrued liabilities consist of the following (in thousands):</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8,809</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variable consideration</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16,192</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 on convertible notes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accrued liabilities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30,066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30,410</w:t>
            </w:r>
          </w:p>
        </w:tc>
      </w:tr>
      <w:tr>
        <w:trPr>
          <w:trHeight w:val="20"/>
        </w:trPr>
        <w:tc>
          <w:tcPr>
            <w:tcW w:w="8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Stock Option and Incentive Plan</w:t>
      </w:r>
    </w:p>
    <w:p>
      <w:pPr>
        <w:spacing w:after="0" w:line="214"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8"/>
          <w:szCs w:val="18"/>
          <w:color w:val="auto"/>
        </w:rPr>
        <w:t>In May 2022, the Company's stockholders approved the 2022 Stock Option and Incentive Plan (the "2022 Plan"). The number of shares of common stock available for awards under the 2022 Plan was set to 4,400,000, with any shares underlying awards that are forfeited, canceled, held back upon exercise of an option or settlement of an award to cover the exercise price or tax withholding, reacquired by the Company prior to vesting, satisfied without the issuance or shares, or otherwise terminated (other than by exercise) under the 2022 Plan may be added back to the shares of common stock available for issuance under the 2022 Plan. The 2022 Plan provides for the award of stock options (both incentive and non-qualified options), stock appreciation rights, restricted stock, restricted stock units, unrestricted stock, cash-based awards, and dividend equivalent rights. Following the approval of the 2022 Plan, no further awards will be issued under the Company’s 2013 Stock Option and Incentive Plan (the “2013 Plan”).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2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 April 2020, the board of directors approved the Esperion Therapeutics, Inc. 2020 Employee Stock Purchase Plan (the "ESPP") which was approved by the Company's shareholders on May 28, 2020. The ESPP allows eligible employees to authorize payroll deductions of up to 10% of their base salary or wages up to $25,000 annually to be applied toward the purchase of shares of the Company's common stock on the last trading day of the offering period. Participating employees will purchase shares of the Company's common stock at a discount of up to 15% on the lesser of the closing price of the Company's common stock on the NASDAQ Global Select Market (i) on the first trading day of the offering period or (ii) the last day of any offering period. Offering periods under the ESPP will generally be in six months increments, commencing on September 1 and March 1 of each calendar year with the administrator having the right to establish different offering periods. In the three and six months ended June 30, 2022, the Company recognized approximately $0.1 million and $0.2 million of stock compensation expense related to the ESPP, respectively. In the three and six months ended June 30, 2021, the Company recognized approximately $0.1 million and $0.4 million of stock compensation expense related to the ESPP, respectively. As of June 30, 2022, there have been 256,999 shares issued and 568,001 shares reserved for future issuance under the ESPP.</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relating to the Company’s options to purchase common stock for the six months ended June 30, 2022:</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32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44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16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20" w:type="dxa"/>
            <w:vAlign w:val="bottom"/>
          </w:tcPr>
          <w:p>
            <w:pPr>
              <w:spacing w:after="0"/>
              <w:rPr>
                <w:sz w:val="17"/>
                <w:szCs w:val="17"/>
                <w:color w:val="auto"/>
              </w:rPr>
            </w:pPr>
          </w:p>
        </w:tc>
        <w:tc>
          <w:tcPr>
            <w:tcW w:w="132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3,214,537</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1,255,600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 or expired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(402,977)</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4,067,160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Vested and expected to vest at June 30, 2022</w:t>
            </w:r>
          </w:p>
        </w:tc>
        <w:tc>
          <w:tcPr>
            <w:tcW w:w="1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4,067,160</w:t>
            </w:r>
          </w:p>
        </w:tc>
        <w:tc>
          <w:tcPr>
            <w:tcW w:w="240" w:type="dxa"/>
            <w:vAlign w:val="bottom"/>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29.05</w:t>
            </w:r>
          </w:p>
        </w:tc>
        <w:tc>
          <w:tcPr>
            <w:tcW w:w="1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5.07</w:t>
            </w:r>
          </w:p>
        </w:tc>
        <w:tc>
          <w:tcPr>
            <w:tcW w:w="10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1,725</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June 30,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2,598,988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Stock-based compensation related to stock options was $1.4 million and $2.9 million for the three and six months ended June 30, 2022, respectively, including $0.1 million and $0.2 million that were capitalized into inventory, and $6.2 million and $9.9 million for the three and six months ended June 30, 2021, respectively, including $0.2 million and $0.5 million that were capitalized into inventory. As of June 30, 2022, there was $10.5 million of unrecognized stock-based compensation expense related to unvested options, which will be recognized over a weighted-average period of 2.6 years.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Stock Options ("PBSOs")</w:t>
      </w:r>
    </w:p>
    <w:p>
      <w:pPr>
        <w:spacing w:after="0" w:line="227"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In 2021, the Company granted PBSOs from the 2013 Plan that vest upon various performance-based milestones as set forth in the individual grant agreements, such as achievement of predetermined clinical or regulatory outcomes. The actual number of units (if any) received under these awards will depend on continued employment and actual performance over the performance period. Each quarter, the Company updates their assessment of the probability that the performance milestone will be achieved. The Company amortizes the fair value of the PBSOs based on the expected performance period to achieve the performance milestone. The Company expects the performance criteria to be met.</w:t>
      </w:r>
    </w:p>
    <w:p>
      <w:pPr>
        <w:spacing w:after="0" w:line="18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In 2022, the Company granted PBSOs from the 2022 Plan that vest upon various performance-based milestones as set forth in the individual grant agreements, such as achievement of predetermined clinical or regulatory outcomes. The actual number of units (if any) received under these awards will depend on continued employment and actual performance over the performance period. Each quarter, the Company updates their assessment of the probability that the performance milestone will be achieved. The Company amortizes the fair value of the PBSOs based on the expected performance period to achieve the performance milestone. The Company expects the performance criteria to be met.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relating to the Company’s PBSOs for the six months ended June 30, 2022:</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32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42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8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20" w:type="dxa"/>
            <w:vAlign w:val="bottom"/>
          </w:tcPr>
          <w:p>
            <w:pPr>
              <w:spacing w:after="0"/>
              <w:rPr>
                <w:sz w:val="17"/>
                <w:szCs w:val="17"/>
                <w:color w:val="auto"/>
              </w:rPr>
            </w:pPr>
          </w:p>
        </w:tc>
        <w:tc>
          <w:tcPr>
            <w:tcW w:w="13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6"/>
        </w:trPr>
        <w:tc>
          <w:tcPr>
            <w:tcW w:w="518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122,700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403,000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 or expired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499,200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Vested and expected to vest at June 30, 2022</w:t>
            </w:r>
          </w:p>
        </w:tc>
        <w:tc>
          <w:tcPr>
            <w:tcW w:w="14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499,200</w:t>
            </w:r>
          </w:p>
        </w:tc>
        <w:tc>
          <w:tcPr>
            <w:tcW w:w="240" w:type="dxa"/>
            <w:vAlign w:val="bottom"/>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6.73</w:t>
            </w:r>
          </w:p>
        </w:tc>
        <w:tc>
          <w:tcPr>
            <w:tcW w:w="1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9.83</w:t>
            </w:r>
          </w:p>
        </w:tc>
        <w:tc>
          <w:tcPr>
            <w:tcW w:w="10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ind w:left="1060"/>
              <w:spacing w:after="0" w:line="203"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June 30,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Stock-based compensation related to PBSOs was $0.1 million and $0.2 million for the three and six months ended June 30, 2022, respectively. As of June 30, 2022, there was approximately $2.1 million of unrecognized stock-based compensation expense related to unvested PBSOs, which will be recognized over a weighted-average period of approximately 1.9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 (or RSUs)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relating to the Company’s RSUs for the six months ended June 30, 2022:</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68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6"/>
        </w:trPr>
        <w:tc>
          <w:tcPr>
            <w:tcW w:w="772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center"/>
              <w:ind w:right="157"/>
              <w:spacing w:after="0" w:line="146" w:lineRule="exact"/>
              <w:rPr>
                <w:sz w:val="20"/>
                <w:szCs w:val="20"/>
                <w:color w:val="auto"/>
              </w:rPr>
            </w:pPr>
            <w:r>
              <w:rPr>
                <w:rFonts w:ascii="Times New Roman" w:cs="Times New Roman" w:eastAsia="Times New Roman" w:hAnsi="Times New Roman"/>
                <w:sz w:val="14"/>
                <w:szCs w:val="14"/>
                <w:b w:val="1"/>
                <w:bCs w:val="1"/>
                <w:color w:val="auto"/>
              </w:rPr>
              <w:t>Fair Value Per</w:t>
            </w:r>
          </w:p>
        </w:tc>
        <w:tc>
          <w:tcPr>
            <w:tcW w:w="0" w:type="dxa"/>
            <w:vAlign w:val="bottom"/>
          </w:tcPr>
          <w:p>
            <w:pPr>
              <w:spacing w:after="0"/>
              <w:rPr>
                <w:sz w:val="1"/>
                <w:szCs w:val="1"/>
                <w:color w:val="auto"/>
              </w:rPr>
            </w:pPr>
          </w:p>
        </w:tc>
      </w:tr>
      <w:tr>
        <w:trPr>
          <w:trHeight w:val="198"/>
        </w:trPr>
        <w:tc>
          <w:tcPr>
            <w:tcW w:w="772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RSUs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0" w:type="dxa"/>
            <w:vAlign w:val="bottom"/>
          </w:tcPr>
          <w:p>
            <w:pPr>
              <w:spacing w:after="0"/>
              <w:rPr>
                <w:sz w:val="1"/>
                <w:szCs w:val="1"/>
                <w:color w:val="auto"/>
              </w:rPr>
            </w:pPr>
          </w:p>
        </w:tc>
      </w:tr>
      <w:tr>
        <w:trPr>
          <w:trHeight w:val="228"/>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and unvested December 31, 2021</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698,704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0" w:type="dxa"/>
            <w:vAlign w:val="bottom"/>
          </w:tcPr>
          <w:p>
            <w:pPr>
              <w:spacing w:after="0"/>
              <w:rPr>
                <w:sz w:val="1"/>
                <w:szCs w:val="1"/>
                <w:color w:val="auto"/>
              </w:rPr>
            </w:pPr>
          </w:p>
        </w:tc>
      </w:tr>
      <w:tr>
        <w:trPr>
          <w:trHeight w:val="229"/>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1,435,409</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(172,695)</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(239,693)</w:t>
            </w:r>
          </w:p>
        </w:tc>
        <w:tc>
          <w:tcPr>
            <w:tcW w:w="30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and unvested June 30, 2022</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1,721,725</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Stock-based compensation related to RSUs was approximately $1.7 million and $3.6 million for the three and six months ended June 30, 2022, respectively, including $0.2 million and $0.3 million that was capitalized into inventory, and approximately $2.2 million and $4.0 million for the three and six months ended June 30, 2021, respectively, including $0.1 million and $0.2 million that was capitalized into inventory. As of June 30, 2022, there was $16.8 million of unrecognized stock-based compensation expense related to unvested RSUs, which will be recognized over a weighted-average period of 2.9 years.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Restricted Stock Units ("PBRSUs")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2021, the Company granted PBRSUs from the 2013 Plan that vest upon various performance-based milestones as set forth in the individual grant agreements, such as achievement of predetermined milestones based on the Company's U.S. net product sales or clinical or regulatory outcomes. The actual number of units (if any) received under these awards will depend on continued employment and actual performance over the performance period. Each quarter, the Company updates their assessment of the probability that the performance milestone will be achieved. The Company amortizes the fair value of the PBRSUs based on the expected performance period to achieve the performance milestone. The fair value of the PBRSUs is based on the quoted market price of the Company's common stock on the date of grant. The Company expects the performance criteria to be met.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relating to the Company's PBRSUs for the six months ended June 30, 2022:</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3"/>
                <w:szCs w:val="13"/>
                <w:color w:val="auto"/>
              </w:rPr>
            </w:pPr>
          </w:p>
        </w:tc>
        <w:tc>
          <w:tcPr>
            <w:tcW w:w="1360" w:type="dxa"/>
            <w:vAlign w:val="bottom"/>
          </w:tcPr>
          <w:p>
            <w:pPr>
              <w:jc w:val="center"/>
              <w:ind w:left="62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Weighted-average fair</w:t>
            </w:r>
          </w:p>
        </w:tc>
      </w:tr>
      <w:tr>
        <w:trPr>
          <w:trHeight w:val="196"/>
        </w:trPr>
        <w:tc>
          <w:tcPr>
            <w:tcW w:w="72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rPr>
              <w:t>PBRSUs</w:t>
            </w: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value per share</w:t>
            </w: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2021</w:t>
            </w:r>
          </w:p>
        </w:tc>
        <w:tc>
          <w:tcPr>
            <w:tcW w:w="136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639,950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30"/>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(133,400)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r>
      <w:tr>
        <w:trPr>
          <w:trHeight w:val="223"/>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and unvested June 30, 2022</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506,550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r>
      <w:tr>
        <w:trPr>
          <w:trHeight w:val="20"/>
        </w:trPr>
        <w:tc>
          <w:tcPr>
            <w:tcW w:w="72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79"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Stock-based compensation related to the PBRSUs was approximately $0.3 million and $1.1 million for the three and six months ended June 30, 2022, respectively, including less than $0.1 million and $0.1 million that was capitalized into inventory. As of June 30, 2022, there was approximately</w:t>
      </w:r>
    </w:p>
    <w:p>
      <w:pPr>
        <w:ind w:right="60"/>
        <w:spacing w:after="0" w:line="260" w:lineRule="auto"/>
        <w:rPr>
          <w:sz w:val="20"/>
          <w:szCs w:val="20"/>
          <w:color w:val="auto"/>
        </w:rPr>
      </w:pPr>
      <w:r>
        <w:rPr>
          <w:rFonts w:ascii="Times New Roman" w:cs="Times New Roman" w:eastAsia="Times New Roman" w:hAnsi="Times New Roman"/>
          <w:sz w:val="18"/>
          <w:szCs w:val="18"/>
          <w:color w:val="auto"/>
        </w:rPr>
        <w:t>$2.9 million of unrecognized stock-based compensation expense related to unvested PBRSUs, which will be recognized over a weighted-average period of approximately 1.9 years.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There was no provision for income taxes for the three and six months ended June 30, 2022 and 2021, because the Company has incurred annual operating losses since inception. At June 30, 2022, the Company continues to conclude that it is not more likely than not that the Company will realize the benefit of its deferred tax assets due to its history of losses. Accordingly, a full valuation allowance has been applied against the net deferred tax assets.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Stockholders' Deficit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ATM Offering</w:t>
      </w:r>
    </w:p>
    <w:p>
      <w:pPr>
        <w:spacing w:after="0" w:line="241"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On April 15, 2022, the Company filed a new registration statement on Form S-3 to replace its prior automatically effective registration statement on Form S-3ASR filed on August 3, 2021, which registers the offering, issuance and sale of up to $239 million of common stock from time to time in “at-the-market” offerings under the Registration Statement and related prospectus filed with the Registration Statement (the “ATM Program”). The Company may continue to use an ATM Program to address potential short-term or long-term funding requirements that may arise. Such program will continue to be subject to the volatility of the price of the Company's common stock and general market conditions. During the three and six month periods ended June 30, 2022, the Company issued 3,353,000 shares of common stock resulting in net proceeds of approximately $20.2 million after deducting $0.8 million of underwriting discounts and commissions and other expenses, pursuant to the ATM Program.</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5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In connection with an underwriting agreement with H.C. Wainwright &amp; Co., LLC (the "Offering"), entered into on December 2, 2021, the Company issued warrants to purchase 36,964,286 shares of common stock at an exercise price of $9.00. The warrants will terminate on December 7, 2023. The warrants were recorded at fair value of $61.9 million to additional-paid-in-capital in accordance with ASC 815-10 based upon the allocation of the proceeds between the common shares issued with the Offering and the warrants. The Company estimated the fair value of the warrants using a Black-Scholes option-pricing model, which is based, in part, upon subjective assumptions including but not limited to stock price volatility, the expected life of the warrant, the risk-free interest rate and the fair value of the common stock underlying the warrant. The Company estimates the volatility based on its historical volatility that is in line with the expected remaining life of the warrants. The risk-free interest rate is based on the U.S. Treasury daily rate for a maturity similar to the expected remaining life of the warrants. The expected remaining life of the warrants is assumed to be equivalent to its remaining contractual term.</w:t>
      </w:r>
    </w:p>
    <w:p>
      <w:pPr>
        <w:spacing w:after="0" w:line="19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of June 30, 2022 and December 31, 2021, the Company had warrants outstanding that were exercisable for a total of 36,964,286 shares of common stock at a weighted-average exercise price of $9.00 per share.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Per Common Share</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by the weighted-average number of common shares outstanding during the period, without consideration for common stock equivalents. Diluted net loss per share is computed by dividing net loss by the weighted-average number of common stock equivalents outstanding for the period, including shares that potentially could be dilutive if they were exercised or vested during the period, determined using the treasury-stock method. For purposes of this calculation, warrants for common stock, stock options, PBSOs, unvested RSUs and PBRSUs, shares issuable under the ESPP and shares issuable upon conversion of the convertible notes are considered to be common stock equivalents and are only included in the calculation of diluted net loss per share when their effect is dilutive.</w:t>
      </w:r>
    </w:p>
    <w:p>
      <w:pPr>
        <w:spacing w:after="0" w:line="18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shares outstanding at the end of the respective periods presented below were excluded from the calculation of diluted net loss per share due to their anti-dilutive effect: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3260" w:type="dxa"/>
            <w:vAlign w:val="bottom"/>
            <w:gridSpan w:val="3"/>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Three and Six Months Ended June 30,</w:t>
            </w:r>
          </w:p>
        </w:tc>
      </w:tr>
      <w:tr>
        <w:trPr>
          <w:trHeight w:val="23"/>
        </w:trPr>
        <w:tc>
          <w:tcPr>
            <w:tcW w:w="47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0"/>
        </w:trPr>
        <w:tc>
          <w:tcPr>
            <w:tcW w:w="474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 under option</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4,067,160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3,875,614</w:t>
            </w: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shares under PBSOs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499,200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RSUs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1,721,725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984,315</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PBRSUs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506,550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64,200</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issuable related to the ESPP</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76,284</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33,412</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issuable upon conversion of convertible notes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8,007,010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8,460,237</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36,964,286</w:t>
            </w:r>
          </w:p>
        </w:tc>
        <w:tc>
          <w:tcPr>
            <w:tcW w:w="1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potential dilutive shares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51,842,215</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13,417,778</w:t>
            </w:r>
          </w:p>
        </w:tc>
      </w:tr>
      <w:tr>
        <w:trPr>
          <w:trHeight w:val="21"/>
        </w:trPr>
        <w:tc>
          <w:tcPr>
            <w:tcW w:w="47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Statements of Cash Flows and Restricted Cash</w:t>
      </w:r>
    </w:p>
    <w:p>
      <w:pPr>
        <w:spacing w:after="0" w:line="256"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presented on the balance sheets to the same amounts presented on the statements of cash flows on June 30, 2022 and 2021 and December 31, 2021 and 2020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60" w:type="dxa"/>
            <w:vAlign w:val="bottom"/>
          </w:tcPr>
          <w:p>
            <w:pPr>
              <w:spacing w:after="0"/>
              <w:rPr>
                <w:sz w:val="17"/>
                <w:szCs w:val="17"/>
                <w:color w:val="auto"/>
              </w:rPr>
            </w:pPr>
          </w:p>
        </w:tc>
        <w:tc>
          <w:tcPr>
            <w:tcW w:w="1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160" w:type="dxa"/>
            <w:vAlign w:val="bottom"/>
          </w:tcPr>
          <w:p>
            <w:pPr>
              <w:spacing w:after="0"/>
              <w:rPr>
                <w:sz w:val="17"/>
                <w:szCs w:val="17"/>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7"/>
                <w:szCs w:val="17"/>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122,940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219,186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208,892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304,962</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6"/>
        </w:trPr>
        <w:tc>
          <w:tcPr>
            <w:tcW w:w="516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cash and cash equivalents and restricted cash shown on the</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172,940</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219,186</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258,892</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304,962</w:t>
            </w:r>
          </w:p>
        </w:tc>
        <w:tc>
          <w:tcPr>
            <w:tcW w:w="0" w:type="dxa"/>
            <w:vAlign w:val="bottom"/>
          </w:tcPr>
          <w:p>
            <w:pPr>
              <w:spacing w:after="0"/>
              <w:rPr>
                <w:sz w:val="1"/>
                <w:szCs w:val="1"/>
                <w:color w:val="auto"/>
              </w:rPr>
            </w:pPr>
          </w:p>
        </w:tc>
      </w:tr>
      <w:tr>
        <w:trPr>
          <w:trHeight w:val="236"/>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condensed statements of cash flows</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financial statements and related notes appearing elsewhere in this Quarterly Report on Form 10-Q and our annual report on Form 10-K for the fiscal year ended December 31, 2021 and other filings that we make with the Securities and Exchange Commission.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i w:val="1"/>
          <w:iCs w:val="1"/>
          <w:color w:val="auto"/>
        </w:rPr>
        <w:t>This Quarterly Report on Form 10-Q contains “forward-looking statements” within the meaning of Section 27A of the Securities Act and Section 21E of the Securities Exchange Act of 1934, as amended (the Exchange Act). These forward-looking statements are based on our management’s belief and assumptions and on information currently available to management. Although we believe that the expectations reflected in these forward-looking statements are reasonable, these statements relate to future events, including our clinical development and commercialization plans, or our future financial performance and involve known and unknown risks, uncertainties and other factors that may cause our actual results, performance or achievements, including in relation to the clinical development, commercialization plans, approval of expanded indications for bempedoic acid and the bempedoic acid / ezetimibe combination tablet and expectations regarding future transactions to further improve our balance sheet to be materially different from any future results, performance or achievements, including in relation to the clinical development, commercialization plans, or approval of expanded indications for bempedoic acid and the bempedoic acid / ezetimibe combination tablet, the impact of COVID-19, our corporate workforce reduction and targeted program savings on our business, clinical activities and commercial development plans, expressed or implied by these forward-looking statements.</w:t>
      </w:r>
    </w:p>
    <w:p>
      <w:pPr>
        <w:spacing w:after="0" w:line="19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Forward-looking statements are often identified by the use of words such as, but not limited to, “may,” “will,” “should,” “expects,” “intends,” “plans,” “anticipates,” “believes,” “estimates,” “predicts,” “potential,” “continue” or the negative of these terms or other similar terminology. These statements are only predictions. You should not place undue reliance on forward-looking statements because they involve known and unknown risks, uncertainties and other factors, which are, in some cases, beyond our control and that could materially affect results. Factors that may cause actual results to differ materially from current expectations include, among other things, those referred to or discussed in or incorporated by reference into the section titled “Risk Factors” included in Item 1A of Part II of this Quarterly Report on Form 10-Q.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w:t>
      </w:r>
    </w:p>
    <w:p>
      <w:pPr>
        <w:spacing w:after="0" w:line="185" w:lineRule="exact"/>
        <w:rPr>
          <w:sz w:val="20"/>
          <w:szCs w:val="20"/>
          <w:color w:val="auto"/>
        </w:rPr>
      </w:pPr>
    </w:p>
    <w:p>
      <w:pPr>
        <w:ind w:right="580"/>
        <w:spacing w:after="0" w:line="284" w:lineRule="auto"/>
        <w:rPr>
          <w:sz w:val="20"/>
          <w:szCs w:val="20"/>
          <w:color w:val="auto"/>
        </w:rPr>
      </w:pPr>
      <w:r>
        <w:rPr>
          <w:rFonts w:ascii="Times New Roman" w:cs="Times New Roman" w:eastAsia="Times New Roman" w:hAnsi="Times New Roman"/>
          <w:sz w:val="18"/>
          <w:szCs w:val="18"/>
          <w:i w:val="1"/>
          <w:iCs w:val="1"/>
          <w:color w:val="auto"/>
        </w:rPr>
        <w:t>The forward-looking statements in this report represent our views as of the date of this quarterly report. Except as required by law, we undertake no obligation to update any forward-looking statements to reflect events or circumstances after the date of such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use the terms “we,” “us,” “our,” or the "Company” in this report to refer to Esperion Therapeutics,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Overview</w:t>
      </w:r>
    </w:p>
    <w:p>
      <w:pPr>
        <w:spacing w:after="0" w:line="216"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color w:val="auto"/>
        </w:rPr>
        <w:t>We are a pharmaceutical company singularly focused on developing and commercializing accessible, oral, once-daily, non-statin medicines for patients struggling with elevated low-density lipoprotein cholesterol, or LDL-C. Through commercial execution and advancement of our CLEAR Outcomes trial as well as our pre-clinical pipeline, we continue to evolve into a differentiated, global cardiometabolic biotech. Our team of lipid experts are dedicated to lowering bad cholesterol through the discovery, development and commercialization of innovative medicines and their combinations with established medicines. Our first two products were approved by the U.S. Food and Drug Administration, or FDA, European Medicines Agency, or EMA and Swiss Agency for Therapeutic Products, or Swissmedic, in 2020. Bempedoic acid and the bempedoic acid / ezetimibe combination tablet are oral, once-daily, non-statin, LDL-C lowering medicines for patients with atherosclerotic cardiovascular disease, or ASCVD, or heterozygous familial hypercholesterolemia, or HeFH.</w:t>
      </w:r>
    </w:p>
    <w:p>
      <w:pPr>
        <w:spacing w:after="0" w:line="20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were incorporated in Delaware in January 2008 and commenced our operations in April 2008. Since our inception, we have focused substantially all of our efforts and financial resources on developing bempedoic acid and the bempedoic acid / ezetimibe combination tablet. In February 2020, the FDA approved NEXLETOL and NEXLIZET. NEXLETOL was commercially available in the U.S. on March 30, 2020 and NEXLIZET was commercially available in the U.S. on June 4, 2020. We have funded our operations to date primarily through proceeds from sales of preferred stock, convertible promissory notes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and warrants, public offerings of common stock, the incurrence of indebtedness, through collaborations with third parties and revenue interest purchase agreements, and we have incurred losses in each year since our inception.</w:t>
      </w:r>
    </w:p>
    <w:p>
      <w:pPr>
        <w:spacing w:after="0" w:line="14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We have never been profitable and our net losses were $66.3 million and $123.1 million for the three and six months ended June 30, 2022, respectively, and $43.7 million and $134.6 million for the three and six months ended June 30, 2021, respectively. Substantially all of our net losses resulted from costs incurred in connection with research and development programs and selling, general and administrative costs associated with our operations. We expect to incur significant expenses and operating losses for the foreseeable future in connection with our ongoing activities, including, among others:</w:t>
      </w:r>
    </w:p>
    <w:p>
      <w:pPr>
        <w:spacing w:after="0" w:line="221"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NEXLETOL and NEXLIZET in the U.S;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the clinical development activities for the CLEAR Outcomes CVOT.</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Accordingly, we may need additional financing to support our continuing operations and further the development and commercialization of our products. We may seek to fund our operations and further development activities through collaborations with third parties, strategic alliances, licensing arrangements, permitted debt financings, permitted royalty-based financings, permitted public or private equity offerings or through other sources. Adequate additional financing may not be available to us on acceptable terms, or at all. Our failure to raise capital as and when needed would have a material adverse effect on our financial condition and our ability to pursue our business strategy or continue operations. We will need to generate significant revenues to achieve profitability, and we may never do so.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Overview</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NEXLETOL is a first-in-class ATP Citrate Lyase, or ACL, inhibitor that lowers LDL-C by reducing cholesterol biosynthesis and up-regulating the LDL receptors. Completed Phase 3 studies conducted in more than 3,000 patients, with over 2,000 patients treated with NEXLETOL, demonstrated an average 18 percent placebo corrected LDL-C lowering when used in patients on moderate or high-intensity statins. NEXLETOL was approved by the FDA in February 2020 as an adjunct to diet and maximally tolerated statin therapy for the treatment of adults with HeFH or established ASCVD who require additional lowering of LDL-C.</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NEXLIZET contains bempedoic acid and ezetimibe and lowers elevated LDL-C through complementary mechanisms of action by inhibiting cholesterol synthesis in the liver and absorption in the intestine. Phase 3 data demonstrated NEXLIZET lowered LDL-C by a mean of 38 percent compared to placebo when added on to maximally tolerated statins. NEXLIZET was approved by the FDA in February 2020 as an adjunct to diet and maximally tolerated statin therapy for the treatment of adults with HeFH or established ASCVD who require additional lowering of LDL-C.</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NILEMDO is a first-in-class ACL inhibitor that lowers LDL-C by reducing cholesterol biosynthesis and up-regulating the LDL receptors. NILEMDO was approved by the EC in March 2020 for use in adults with primary hypercholesterolemia (heterozygous familial and non-familial) or mixed dyslipidemia, as an adjunct to diet in combination with a statin or statin with other lipid-lowering therapies in adult patients unable to reach LDL-C goals with the maximum tolerated dose of a statin, or alone or in combination with other lipid-lowering therapies as an adjunct to diet in adult patients who are statin-intolerant, or for whom a statin is contraindicated.</w:t>
      </w:r>
    </w:p>
    <w:p>
      <w:pPr>
        <w:spacing w:after="0" w:line="18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NUSTENDI contains bempedoic acid and ezetimibe and lowers elevated LDL-C through complementary mechanisms of action by inhibiting cholesterol synthesis in the liver and absorption in the intestine. NUSTENDI was approved by the EC in March 2020 for use in adults with primary hypercholesterolemia (heterozygous familial and non-familial) or mixed dyslipidemia, as an adjunct to diet in combination with a statin in adult patients unable to reach LDL-C goals with the maximum tolerated dose of a statin in addition to ezetimibe, alone in patients who are either statin-intolerant or for whom a statin is contraindicated, and are unable to reach LDL-C goals with ezetimibe alone, or as an adjunct to diet in adult patients already being treated with the combination of bempedoic acid and ezetimibe as separate tablets with or without statin.</w:t>
      </w:r>
    </w:p>
    <w:p>
      <w:pPr>
        <w:spacing w:after="0" w:line="18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2022, we incurred $39.7 million in expenses related to our CLEAR Outcomes CVOT and other ongoing clinical studies.</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2021, we incurred $32.0 million in expenses related to our CLEAR Outcomes CVOT and other ongoing clinical studies.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Ongoing Clinical Studies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Cardiovascular Outcomes Trial—CLEAR Outcomes</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CLEAR Outcomes is a Phase 3, event driven, randomized, multicenter, double-blind, placebo-controlled clinical study designed to evaluate whether treatment of bempedoic acid reduces the risk of cardiovascular events in patients with statin intolerance who have cardiovascular disease or are at high risk for cardiovascular disease. The primary endpoint of the study is the effect of bempedoic acid on major adverse cardiovascular events (cardiovascular death, non-fatal myocardial infarction, non-fatal stroke, or coronary revascularization; also referred to as "four-component MACE"). CLEAR Outcomes is designed to provide 90 percent power to detect an approximately 15 percent relative risk reduction in the primary endpoint in the bempedoic acid treatment group as compared to the placebo group and is expected to complete with a minimum of 1,620 patients experiencing the primary endpoint.</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study over-enrolled with over 14,000 patients with hypercholesterolemia and high cardiovascular disease risk at over 1,200 sites in 32 countries. Eligible patients at high risk (LDL-C &gt;100 mg/dL in primary prevention) for cardiovascular disease or with cardiovascular disease (LDL-C between 100 mg/dL to 190 mg/dL in secondary prevention) and who are only able to tolerate less than the lowest approved daily starting dose of a statin and considered statin adverse, were randomized to receive bempedoic acid 180 mg once-daily or placebo. The expected average baseline LDL-C level in all patients is between 135 mg/dL and 140 mg/dL.</w:t>
      </w:r>
    </w:p>
    <w:p>
      <w:pPr>
        <w:spacing w:after="0" w:line="18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CLEAR Outcomes will conclude once the predetermined number of MACE endpoints occur. We initiated CLEAR Outcomes in December 2016 and completed enrollment in August 2019. The expected average treatment duration will be 3.75 years with a minimum treatment duration of approximately 2.25 years. The study is intended to support our submissions for a CV risk reduction indication in the U.S., Europe and other territories.</w:t>
      </w:r>
    </w:p>
    <w:p>
      <w:pPr>
        <w:spacing w:after="0" w:line="176"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On August 2, 2022, we announced that the CLEAR Outcomes study of NEXLETOL had accumulated the targeted 1,620 primary major adverse cardiovascular events (MACE-4) (cardiovascular death, nonfatal myocardial infarction, nonfatal stroke, or coronary revascularization). With achievement of this milestone, we began closing out the study. The Company anticipates reporting top-line results from the study in the first quarter of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Organizational Updates</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On March 15, 2022, we announced that Richard B. Bartram was stepping down from his positions as Chief Financial Officer, Principal Financial Officer and Principal Accounting Officer of the Company, effective as of April 8, 2022. Sheldon Koenig, President and Chief Executive Officer, is currently fulfilling the role of the Principal Financial and Accounting Officer.</w:t>
      </w:r>
    </w:p>
    <w:p>
      <w:pPr>
        <w:spacing w:after="0" w:line="203" w:lineRule="exact"/>
        <w:rPr>
          <w:sz w:val="20"/>
          <w:szCs w:val="20"/>
          <w:color w:val="auto"/>
        </w:rPr>
      </w:pPr>
    </w:p>
    <w:p>
      <w:pPr>
        <w:ind w:right="460"/>
        <w:spacing w:after="0" w:line="273" w:lineRule="auto"/>
        <w:rPr>
          <w:sz w:val="20"/>
          <w:szCs w:val="20"/>
          <w:color w:val="auto"/>
        </w:rPr>
      </w:pPr>
      <w:r>
        <w:rPr>
          <w:rFonts w:ascii="Times New Roman" w:cs="Times New Roman" w:eastAsia="Times New Roman" w:hAnsi="Times New Roman"/>
          <w:sz w:val="18"/>
          <w:szCs w:val="18"/>
          <w:color w:val="auto"/>
        </w:rPr>
        <w:t>On April 28, 2022, Mark E. McGovern, M.D. notified the Board of Directors (the “Board”) of the Company of his decision to resign from the Board, effective immediately. On April 28, 2022, the Board elected Stephen Rocamboli to fill the newly created vacancy on the Board resulting from Dr.</w:t>
      </w:r>
    </w:p>
    <w:p>
      <w:pPr>
        <w:spacing w:after="0" w:line="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McGovern’s resignation from the Board, effective April 28, 2022. Mr. Rocamboli will serve as a Class I director with a term expiring at the annual meeting of stockholders to be held in 2023, at which time he will stand for election by the Company’s stockholders, or until his earlier death, resignation or removal.</w:t>
      </w:r>
    </w:p>
    <w:p>
      <w:pPr>
        <w:spacing w:after="0" w:line="20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June 1, 2022, the Board elected J. Martin Carroll to fill in the newly created vacancy on the Board resulting from an increase in the size of the Board from nine (9) directors to ten (10) directors, effective June 1, 2022. Mr. Carroll serves as Chairperson of the Board and as a Class I director with a term expiring at the annual meeting of stockholders to be held in 2023, at which time he will stand for election by the Company’s stockholders, or until his earlier death, resignation or removal.</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COVID-19 Pandemic</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full extent to which the ongoing COVID-19 pandemic, or the future outbreak of any other highly infectious or contagious diseases, may impact our business, including our CVOT and commercialization efforts will depend on continuously changing circumstances, which are highly uncertain and cannot be predicted at this time, such as the duration of such pandemic including future waves of infection, the emergence and prevalence of more contagious variants, such as the recent "Omicron" variant and the BA.2 subvariants of the virus, or the global availability and utilization of effective vaccines, the actions taken to contain the pandemic or mitigate its impact, and the direct and indirect economic effects of the pandemic and containment measures, among others. The ongoing fluidity of this situation precludes any prediction as to the full impact of the COVID-19 pandemic but it has had a material adverse effect on our business, financial condition, and results of operations. The ongoing COVID-19 pandemic may also have the effect of heightening the risks to which we are subject, including potential impacts on the progress and time to completion of our ongoing CVOT, the reliance on third parties in our supply chain for materials and manufacturing and delivery of our drugs and drug candidates, our ability to effectively promote and market our approved products, disruptions in health regulatory agencies' operations globally, the volatility of our common stock, our ability to access capital markets, and our ability to successfully commercialize and generate revenue from our approved drugs.</w:t>
      </w:r>
    </w:p>
    <w:p>
      <w:pPr>
        <w:spacing w:after="0" w:line="2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are continuing to assess the long-term impact of COVID-19 on our business operations in an effort to mitigate interruption to our commercialization of our approved drugs and other business activities and to ensure the safety and well being of our employees, as well as the physicians and patients participating in our CVOT. Because COVID-19 infections have been reported throughout the U.S. and worldwide, and as new strains continue to be identified, certain national, state, and local governmental authorities have issued orders, proclamations, and/or directives aimed at minimizing the spread of COVID-19. Although some of these restrictions were eased or lifted, in response to local surges and new waves of infection, some countries, states, and local governments have reinstituted these restrictions, and additional, more restrictive orders, proclamations, and/or directives may be issued in the future. In response to the COVID-19 pandemic, we have implemented precautionary measures to protect the health and safety of our employees, partners, and patients, including encouraging all employees to work-from-home if able to perform their duties remotely, and requiring adherence to onsite occupancy limits and appropriate safety measures designed to comply with federal, state, and local guidelines.</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ability to successfully launch, commercialize, and generate revenue from NEXLETOL, NEXLIZET, NILEMDO and NUSTENDI has been and may continue to be adversely affected by the economic impact of the ongoing COVID-19 pandemic. Physicians’ offices and other medical institutions continue to have limited access for nonpatients, which includes our sales personnel. In addition, social distancing or testing requirements and precautionary measures due to COVID-19 have impacted the ability of our sales personnel to interact in-person with customers. As a result, in many circumstances we have needed to limit our interactions with physicians and payors and adapt our launch strategies and tactics to a virtual model, including developing and deploying various technology-enabled platforms for virtual engagement such as remote detailing, digital and non-personal marketing channels, and social media. These circumstances have affected and may continue to adversely affect the ability of our sales professionals to effectively market our approved drugs to physicians and the rates of uptakes for our approved drugs, which may have a negative impact on our sales and our market penetration. In addition, patient visits with physicians have decreased as a result of COVID-19, due to travel restrictions, social distancing requirements, prioritization of healthcare resources to address the pandemic, and/or fear of exposure to the virus, which we believe has adversely affected and could continue to have an adverse impact on new patient starts and overall patient treatment volume. Market disruption and unemployment caused by the COVID-19 pandemic may lead to delays in obtaining insurance coverage and reimbursement of newly approved products.</w:t>
      </w:r>
    </w:p>
    <w:p>
      <w:pPr>
        <w:spacing w:after="0" w:line="19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have had to optimize our cost structure in response to the ongoing COVID-19 pandemic and its impact on the conventional healthcare model associated with normal health management practices, such as regular physician office visits, lab tests, and prescription fills. As a result of the impact COVID-19 has had on our business and demand, in October 2021, we announced our plan to align operational and expense structure to better enable future growth for NEXLETOL and NEXLIZET and prioritize our investment in the CLEAR Outcomes trial. This included reducing operational expense across the organization through a corporate workforce reduction of approximately 40% and through targeted program savings. We will focus our commercialization efforts on an optimized blend of focused outreach including a streamlined sales force, directed to targeted cardiologists and primary care physicians, and a suite of digital initiatives designed to increase awareness and utilization of our medicines in appropriate patients. We adjusted our 2021 operating expense guidance and planned 2022 operating expense budget accordingly, including our budgeted production plans. While it is not possible at this time to estimate the entirety of the impact that the ongoing COVID-19 pandemic will have on our business or operations, the continued spread or future waves of COVID-19, measures taken by governments, actions taken to protect employees, and the broad impact of the pandemic on all business activities may materially and adversely affect our preclinical activities, clinical development progress, data and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timelines, commercialization efforts including any revenue from sales, supply chain continuity, and general business operations, and our business, prospects, financial condition, and results of operations could be materially harmed as a result.</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To date, we have not experienced any interruption of our supply of drug products needed to support our ongoing clinical study and product sales. However, such interruptions may occur due to supply chain issues related to COVID-19, such as the demand for vaccines and potential for manufacturing facilities and materials to be commandeered under the Defense Production Act of 1950, or equivalent foreign legislation, which may make it more difficult to obtain materials or manufacturing capacity at our third-party manufacturers to the products needed for our clinical trials and commercial product, which could lead to delays in our ongoing trial and/or issues with our commercial supply. We remain focused on maintaining a strong balance sheet, liquidity and financial flexibility and continue to monitor developments as we deal with the disruptions and uncertainties from a business and financial perspective relating to COVID-19. We will continue to work diligently with our partners and stakeholders to continue supporting patient access to our approved medicines, advancing our products under regulatory review as well as in our clinical studies to the extent safe to do so for patients, caregivers and healthcare practitioners, and ensuring the continuity of our manufacturing and supply chain. For additional information related to the potential impact of COVID-19 on our business, please read Part I-Item 1A, “Risk Factors” of our Annual Report on Form 10-K for the fiscal year ended December 31, 2021.</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sales, net</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Product sales, net is related to our sales of NEXLETOL and NEXLIZET. NEXLETOL was commercially available in the U.S. on March 30, 2020 and NEXLIZET was commercially available in the U.S. on June 4,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Collaboration revenue is related to our collaboration agreements with Daiichi Sankyo Europe GmbH, or DSE, Otsuka Pharmaceutical Co., Ltd., or Otsuka, and Daiichi Sankyo Co. Ltd, or DS. Collaboration revenue in the three and six months ended June 30, 2022 was primarily related to sales of bulk tablets under supply agreements and royalty revenue received from collaboration partners. Collaboration revenue in the three and six months ended June 30, 2021 was primarily related to the initial recognition of the upfront payment from our license and collaboration agreement with DS, sales of bulk tablets under supply agreements, and royalty revenue received from collaboration partners. Under contracted supply agreements with ex-U.S. collaborators, we may manufacture and supply quantities of active pharmaceutical ingredient, or API, or bulk tablets reasonably required by ex-U.S. collaboration partners for the development or sale of licensed products in their respective territory. We recognize revenue when the collaboration partner has obtained control of the API or bulk tablets. We also receive royalties from the commercialization of such products, and record our share of the variable consideration, representing a percentage of net product sales, as collaboration revenue in the period in which such underlying sales occur and costs are incurred by the collaborators.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Cost of goods sold is related to our net product sales of NEXLETOL and NEXLIZET and the cost of goods sold from our supply agreements with collaboration partners. Prior to the FDA approval of NEXLETOL and NEXLIZET in February 2020, expenses associated with the manufacturing of our products were recorded as research and development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research and development expenses consist primarily of costs incurred in connection with the development of bempedoic acid and the bempedoic acid</w:t>
      </w:r>
    </w:p>
    <w:p>
      <w:pPr>
        <w:spacing w:after="0" w:line="27" w:lineRule="exact"/>
        <w:rPr>
          <w:sz w:val="20"/>
          <w:szCs w:val="20"/>
          <w:color w:val="auto"/>
        </w:rPr>
      </w:pPr>
    </w:p>
    <w:p>
      <w:pPr>
        <w:ind w:left="100" w:hanging="92"/>
        <w:spacing w:after="0"/>
        <w:tabs>
          <w:tab w:leader="none" w:pos="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ezetimibe combination tablet, which include:</w:t>
      </w:r>
    </w:p>
    <w:p>
      <w:pPr>
        <w:spacing w:after="0" w:line="206" w:lineRule="exact"/>
        <w:rPr>
          <w:rFonts w:ascii="Times New Roman" w:cs="Times New Roman" w:eastAsia="Times New Roman" w:hAnsi="Times New Roman"/>
          <w:sz w:val="18"/>
          <w:szCs w:val="18"/>
          <w:color w:val="auto"/>
        </w:rPr>
      </w:pPr>
    </w:p>
    <w:p>
      <w:pPr>
        <w:ind w:left="1300" w:right="120" w:hanging="644"/>
        <w:spacing w:after="0" w:line="282" w:lineRule="auto"/>
        <w:tabs>
          <w:tab w:leader="none" w:pos="129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consultants, contract research organizations, or CROs, and investigative sites that conduct our preclinical and clinical studies;</w:t>
      </w:r>
    </w:p>
    <w:p>
      <w:pPr>
        <w:spacing w:after="0" w:line="161" w:lineRule="exact"/>
        <w:rPr>
          <w:rFonts w:ascii="Times New Roman" w:cs="Times New Roman" w:eastAsia="Times New Roman" w:hAnsi="Times New Roman"/>
          <w:sz w:val="18"/>
          <w:szCs w:val="18"/>
          <w:color w:val="auto"/>
        </w:rPr>
      </w:pPr>
    </w:p>
    <w:p>
      <w:pPr>
        <w:ind w:left="1300" w:right="100" w:hanging="644"/>
        <w:spacing w:after="0" w:line="266" w:lineRule="auto"/>
        <w:tabs>
          <w:tab w:leader="none" w:pos="129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acquiring, developing and manufacturing clinical study materials and commercial product manufacturing supply prior to product approval, including the procurement of ezetimibe in our continued development of our bempedoic acid / ezetimibe combination tablet;</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stock-based compensation and travel expenses;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expenses for rent and maintenance of facilities, insurance and other supplies;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expense research and development costs as incurred. To date, substantially all of our research and development work has been related to bempedoic acid and the bempedoic acid / ezetimibe combination tablet. Costs for certain development activities, such as clinical studies, are recognized based on an evaluation of the progress to completion of specific tasks using data such as patient enrollment, clinical site activations or information provided to us by our vendors. Our direct research and development expenses consist principally of external costs, such as fees paid to investigators, consultants, central laboratories and CROs in connection with our clinical studies. We do not allocate acquiring and manufacturing clinical study materials, salaries, stock-based compensation, employee benefits or other indirect costs related to our research and development function to specific programs.</w:t>
      </w:r>
    </w:p>
    <w:p>
      <w:pPr>
        <w:spacing w:after="0" w:line="18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will continue to incur research and development expenses in the foreseeable future as they relate to our ongoing CLEAR Outcomes CVOT and any other development programs or additional indications we choose to pursue. We cannot determine with certainty the duration and completion costs associated with the ongoing or future clinical studies of bempedoic acid and the bempedoic acid / ezetimibe combination tablet. The duration, costs and timing associated with the development of bempedoic acid and the bempedoic acid / ezetimibe combination tablet will depend on a variety of factors, including uncertainties associated with the results of our clinical studies and our ability to obtain regulatory approval outside the U.S. and Europe. For example, if a regulatory authority were to require us to conduct clinical studies beyond those that we currently anticipate that will be required for the completion of clinical development or post-commercialization clinical studies of bempedoic acid or the bempedoic acid / ezetimibe combination tablet, we could be required to expend significant additional financial resources and time on the completion of clinical development or post-commercialization clinical studies of bempedoic acid and the bempedoic acid / ezetimibe combination tablet.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primarily consist of salaries and related costs for personnel, including stock-based compensation, associated with our sales, executive, accounting and finance, commercial, operational and other administrative functions. Other general and administrative expenses include selling expenses, facility-related costs, communication expenses and professional fees for legal, patent prosecution, protection and review, consulting and accounting services.</w:t>
      </w:r>
    </w:p>
    <w:p>
      <w:pPr>
        <w:spacing w:after="0" w:line="166"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18"/>
          <w:szCs w:val="18"/>
          <w:color w:val="auto"/>
        </w:rPr>
        <w:t>As a result of the corporate workforce reduction in October 2021 and other targeted program savings, we anticipate that our selling, general and administrative expenses will decrease in 2022 compared to 2021. We expect our selling, general and administrative expenses will increase after we report top-line results from the CLEAR Outcomes trial in the first quarter of 2023 in connection with potential additional global regulatory submissions for new product indications, expanded commercialization initiatives for NEXLETOL and NEXLIZET and increases in our associated headcount.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Interest expense is related to our Revenue Interest Purchase Agreement, or RIPA, with Eiger III SA LLC, or Oberland, an affiliate of Oberland Capital and our convertible notes issued in November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Other income, net, primarily relates to the sale of lease vehicles in 2022 associated with the reduction in force, interest income and the accretion or amortization of premiums and discounts earned on our cash, cash equivalents and investment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on our financial statements, which have been prepared in accordance with generally accepted accounting principles in the United States of America. The preparation of these financial statements requires us to make estimates and judgments that affect the reported amounts of assets, liabilities and expenses and the disclosure of contingent assets and liabilities in our financial statements. We evaluate our estimates and judgments on an ongoing basis. We base our estimates on historical experience, known trends and events, contractual milestones and other various factors that are believed to be reasonable under the circumstances, the results of which</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form the basis for making judgments about the carrying values of assets and liabilities that are not readily apparent from other sources. Our actual results may differ from these estimates under different assumptions or conditions.</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There have been no other material changes to the significant accounting policies previously disclosed in our Annual Report on Form 10-K for the fiscal year ended December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2022 and 2021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6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0" w:type="dxa"/>
            <w:vAlign w:val="bottom"/>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sales, net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13,578</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(24,786)</w:t>
            </w:r>
          </w:p>
        </w:tc>
        <w:tc>
          <w:tcPr>
            <w:tcW w:w="0" w:type="dxa"/>
            <w:vAlign w:val="bottom"/>
          </w:tcPr>
          <w:p>
            <w:pPr>
              <w:spacing w:after="0"/>
              <w:rPr>
                <w:sz w:val="1"/>
                <w:szCs w:val="1"/>
                <w:color w:val="auto"/>
              </w:rPr>
            </w:pP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7,376</w:t>
            </w:r>
          </w:p>
        </w:tc>
        <w:tc>
          <w:tcPr>
            <w:tcW w:w="0" w:type="dxa"/>
            <w:vAlign w:val="bottom"/>
          </w:tcPr>
          <w:p>
            <w:pPr>
              <w:spacing w:after="0"/>
              <w:rPr>
                <w:sz w:val="1"/>
                <w:szCs w:val="1"/>
                <w:color w:val="auto"/>
              </w:rPr>
            </w:pP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7,358</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(16,709)</w:t>
            </w:r>
          </w:p>
        </w:tc>
        <w:tc>
          <w:tcPr>
            <w:tcW w:w="0" w:type="dxa"/>
            <w:vAlign w:val="bottom"/>
          </w:tcPr>
          <w:p>
            <w:pPr>
              <w:spacing w:after="0"/>
              <w:rPr>
                <w:sz w:val="1"/>
                <w:szCs w:val="1"/>
                <w:color w:val="auto"/>
              </w:rPr>
            </w:pPr>
          </w:p>
        </w:tc>
      </w:tr>
      <w:tr>
        <w:trPr>
          <w:trHeight w:val="223"/>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(52,376)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(32,533)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(19,843)</w:t>
            </w:r>
          </w:p>
        </w:tc>
        <w:tc>
          <w:tcPr>
            <w:tcW w:w="0" w:type="dxa"/>
            <w:vAlign w:val="bottom"/>
          </w:tcPr>
          <w:p>
            <w:pPr>
              <w:spacing w:after="0"/>
              <w:rPr>
                <w:sz w:val="1"/>
                <w:szCs w:val="1"/>
                <w:color w:val="auto"/>
              </w:rPr>
            </w:pP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0" w:type="dxa"/>
            <w:vAlign w:val="bottom"/>
          </w:tcPr>
          <w:p>
            <w:pPr>
              <w:spacing w:after="0"/>
              <w:rPr>
                <w:sz w:val="1"/>
                <w:szCs w:val="1"/>
                <w:color w:val="auto"/>
              </w:rPr>
            </w:pPr>
          </w:p>
        </w:tc>
      </w:tr>
      <w:tr>
        <w:trPr>
          <w:trHeight w:val="229"/>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48"/>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(66,324)</w:t>
            </w:r>
          </w:p>
        </w:tc>
        <w:tc>
          <w:tcPr>
            <w:tcW w:w="1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(22,656)</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sales, net</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Product sales, net for the three months ended June 30, 2022 was $13.6 million compared to $10.6 million for the three months ended June 30, 2021, an increase of $3.0 million. The increase is primarily due to prescription growth of NEXLETOL and NEXLIZET during the second quarter of 2022 compared to the second quarter of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Collaboration revenue recognized from our collaboration agreements for the three months ended June 30, 2022 was $5.3 million compared to $30.0 million for the three months ended June 30, 2021, a decrease of approximately $24.7 million. The decrease is primarily due to the initial recognition of the upfront payment from our license and collaboration agreement DS for the three months ended June 30, 2021, partially offset by an increase in product sales to collaboration partners under our supply agreements and royalty revenue from our collaboration agreement with DSE for the three months ended June 30,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Cost of goods sold for the three months ended June 30, 2022 was $9.2 million compared to $1.8 million for the three months ended June 30, 2021, an increase of $7.4 million. The increase is primarily related to increased product sales to our collaboration partners from our supply agreements and increased net product sales of NEXLETOL and NEXLIZET.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June 30, 2022, were $32.4 million, compared to $25.1 million for the three months ended June 30, 2021, an increase of approximately $7.3 million. The increase in research and development expenses was primarily attributable to an increase in CVOT costs as we approached 100% MACE accumulations and started close-out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for the three months ended June 30, 2022, were $29.6 million, compared to $46.3 million for the three months ended June 30, 2021, a decrease of $16.7 million. The decrease in selling, general and</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expenses was primarily attributable to decreases in compensation costs related to the reduction in force in the fourth quarter of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Interest expense for the three months ended June 30, 2022, was $14.3 million, compared to $11.1 million for the three months ended June 30, 2021, a increase of approximately $3.2 million. The increase in interest expense was primarily due to additional interest expense attributable to the third installment payment from our RIPA with Oberland.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Other income, net for the three months ended June 30, 2022, was $0.3 million, compared to less than $0.1 million for the three months ended June 30, 2021, an increase of $0.3 million. The increase in other income, net was primarily due to higher interest income on our investments due to higher interest rates.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2022 and 2021</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68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80" w:type="dxa"/>
            <w:vAlign w:val="bottom"/>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sales, net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9,972</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(20,932)</w:t>
            </w:r>
          </w:p>
        </w:tc>
        <w:tc>
          <w:tcPr>
            <w:tcW w:w="0" w:type="dxa"/>
            <w:vAlign w:val="bottom"/>
          </w:tcPr>
          <w:p>
            <w:pPr>
              <w:spacing w:after="0"/>
              <w:rPr>
                <w:sz w:val="1"/>
                <w:szCs w:val="1"/>
                <w:color w:val="auto"/>
              </w:rPr>
            </w:pP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12,717</w:t>
            </w:r>
          </w:p>
        </w:tc>
        <w:tc>
          <w:tcPr>
            <w:tcW w:w="0" w:type="dxa"/>
            <w:vAlign w:val="bottom"/>
          </w:tcPr>
          <w:p>
            <w:pPr>
              <w:spacing w:after="0"/>
              <w:rPr>
                <w:sz w:val="1"/>
                <w:szCs w:val="1"/>
                <w:color w:val="auto"/>
              </w:rPr>
            </w:pP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3,723</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107,382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(47,392)</w:t>
            </w:r>
          </w:p>
        </w:tc>
        <w:tc>
          <w:tcPr>
            <w:tcW w:w="0" w:type="dxa"/>
            <w:vAlign w:val="bottom"/>
          </w:tcPr>
          <w:p>
            <w:pPr>
              <w:spacing w:after="0"/>
              <w:rPr>
                <w:sz w:val="1"/>
                <w:szCs w:val="1"/>
                <w:color w:val="auto"/>
              </w:rPr>
            </w:pPr>
          </w:p>
        </w:tc>
      </w:tr>
      <w:tr>
        <w:trPr>
          <w:trHeight w:val="223"/>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(95,365)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(115,357)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19,992</w:t>
            </w:r>
          </w:p>
        </w:tc>
        <w:tc>
          <w:tcPr>
            <w:tcW w:w="0" w:type="dxa"/>
            <w:vAlign w:val="bottom"/>
          </w:tcPr>
          <w:p>
            <w:pPr>
              <w:spacing w:after="0"/>
              <w:rPr>
                <w:sz w:val="1"/>
                <w:szCs w:val="1"/>
                <w:color w:val="auto"/>
              </w:rPr>
            </w:pP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(9,059)</w:t>
            </w:r>
          </w:p>
        </w:tc>
        <w:tc>
          <w:tcPr>
            <w:tcW w:w="0" w:type="dxa"/>
            <w:vAlign w:val="bottom"/>
          </w:tcPr>
          <w:p>
            <w:pPr>
              <w:spacing w:after="0"/>
              <w:rPr>
                <w:sz w:val="1"/>
                <w:szCs w:val="1"/>
                <w:color w:val="auto"/>
              </w:rPr>
            </w:pPr>
          </w:p>
        </w:tc>
      </w:tr>
      <w:tr>
        <w:trPr>
          <w:trHeight w:val="229"/>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48"/>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(123,055)</w:t>
            </w:r>
          </w:p>
        </w:tc>
        <w:tc>
          <w:tcPr>
            <w:tcW w:w="1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11,548</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sales, net</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Product sales, net for the six months ended June 30, 2022 was $26.9 million compared to $17.0 million for the six months ended June 30, 2021, an increase of approximately $9.9 million. The increase is primarily due to prescription growth of NEXLETOL and NEXLIZET during the first half of 2022 compared to the first half of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Collaboration revenue recognized from our collaboration agreements for the six months ended June 30, 2022 was $10.7 million compared to $31.7 million for the six months ended June 30, 2021, a decrease of approximately $21.0 million. The decrease is primarily due to the initial recognition of the upfront payment from our license and collaboration agreement with DS for the six months ended June 30, 2021, partially offset by an increase in product sales to collaboration partners under our supply agreements and royalty revenue from our collaboration agreement with DSE for the six months ended June 30,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Cost of goods sold for the six months ended June 30, 2022 was $16.3 million compared to $3.6 million for the six months ended June 30, 2021, an increase of $12.7 million. The increase is primarily related to increased product sales to our collaboration partners from our supply agreements and increased net product sales of NEXLETOL and NEXLIZET.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six months ended June 30, 2022, were $56.8 million, compared to $53.0 million for the six months ended June 30, 2021, an increase of approximately $3.8 million. The increase in research and development expenses was primarily attributable to an increase in CVOT costs as we approached 100% MACE accumulations and started close-out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for the six months ended June 30, 2022, were $60.0 million, compared to $107.4 million for the six months ended June 30, 2021, a decrease of $47.4 million. The decrease in selling, general and administrative expenses was primarily attributable to decreases in compensation costs related to the reduction in force in the fourth quarter of 2021 and a $13.3 million one-time charge associated with a legal settlement in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Interest expense for the six months ended June 30, 2022, was $28.3 million, compared to $19.3 million for the six months ended June 30, 2021, an increase of approximately $9.0 million. The increase in interest expense was primarily due to additional interest expense attributable to the third installment payment from our RIPA with Oberland.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Other income, net for the six months ended June 30, 2022, was $0.6 million, compared to less than $0.1 million for the six months ended June 30, 2021, an increase of $0.6 million. The increase in other income, net was primarily due to a gain on sale of our lease vehicles due to the reduction in force and higher interest income on our investments due to higher interest rates.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6"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8"/>
          <w:szCs w:val="18"/>
          <w:color w:val="auto"/>
        </w:rPr>
        <w:t>While we began to generate revenue from the sales of our products in 2020, we have funded our operations to date primarily through proceeds from sales of preferred stock, convertible promissory notes and warrants, public offerings of common stock and warrants, the incurrence of indebtedness, milestone payments from collaboration agreements and the revenue interest purchase agreement. Pursuant to the license and collaboration agreements with Daiichi Sankyo and Otsuka, we are eligible for substantial additional sales and regulatory milestone payments and royalties. Pursuant to the license and collaboration agreements entered into April 2021 with Daiichi Sankyo, we received an upfront cash payment of $30.0 million in May 2021 and are eligible for substantial additional sales milestone payments and royalties. Pursuant to the amended RIPA with Oberland, we received an additional $50.0 million in May 2021. The amended RIPA increases the revenue interest we will pay Oberland based on the net sales of our products as outlined in Note 8 "Liability Related to the Revenue Interest Purchase Agreement" in our condensed financial statements included in this Form 10-Q for the quarter ended June 30, 2022. In December 2021, we entered into an underwriting agreement pursuant to which we sold shares of common stock and accompanying warrants to purchase shares of our common stock and received net proceeds of $208.7 million. We anticipate that we will incur losses for the foreseeable future as we continue to incur substantial expenses related to the ongoing commercialization of NEXLETOL and NEXLIZET and study completion activities for our ongoing CLEAR Outcomes CVOT. We anticipate that our current cash, cash equivalents, investments, expected future net product sales of NEXLETOL and NEXLIZET, and expected future revenue under our collaboration agreements is sufficient to allow us to complete and report results from the CLEAR Outcomes CVOT and fund continuing operations for the foreseeable future beyond the CVOT read-out.</w:t>
      </w:r>
    </w:p>
    <w:p>
      <w:pPr>
        <w:spacing w:after="0" w:line="22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June 30, 2022, our primary sources of liquidity were our cash and cash equivalents and available-for-sale investments which totaled $235.8 million, which includes $50 million that is restricted per the amendment and waiver with Oberland. We invest our cash equivalents and investments in highly liquid, interest-bearing investment-grade securities and government securities to preserve principal.</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primary sources and uses of cash for the periods presented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3500" w:type="dxa"/>
            <w:vAlign w:val="bottom"/>
            <w:gridSpan w:val="5"/>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75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752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7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17"/>
                <w:szCs w:val="17"/>
                <w:color w:val="auto"/>
              </w:rPr>
            </w:pPr>
          </w:p>
        </w:tc>
      </w:tr>
      <w:tr>
        <w:trPr>
          <w:trHeight w:val="23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(89,522)</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(136,934)</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2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(13,102)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16,672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51,158</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(85,952)</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(85,776)</w:t>
            </w:r>
          </w:p>
        </w:tc>
      </w:tr>
      <w:tr>
        <w:trPr>
          <w:trHeight w:val="20"/>
        </w:trPr>
        <w:tc>
          <w:tcPr>
            <w:tcW w:w="75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incurred and expect to continue to incur, significant costs related to the commercialization of NEXLETOL and NEXLIZET and related to ongoing research and development, regulatory and other clinical study costs associated with the development of bempedoic acid and the bempedoic acid / ezetimibe combination tablet.</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totaled $89.5 million for the six months ended June 30, 2022, compared to $136.9 million for the six months ended June 30, 2021. Net cash used for the six months ended June 30, 2022 consists primarily of net product sales of NEXLETOL and NEXLIZET fully offset by cash used to fund the commercialization activities of NEXLETOL and NEXLIZET and the research and development costs related to bempedoic acid and the bempedoic acid / ezetimibe combination tablet, adjusted for non-cash expenses such as stock-based compensation expense, interest expense related to our RIPA with Oberland, depreciation and amortization and changes in working capital. Net cash for the six months ended June 30, 2021 consisted of net product sales of NEXLETOL and NEXLIZET and $30.0 million in upfront fees from DS fully offset by cash used to fund the commercialization activities of NEXLETOL and NEXLIZET and the research and development costs related to bempedoic acid and the bempedoic acid / ezetimibe combination tablets, adjusted for non-cash expenses such as stock-based compensation expense, interest expense related to our RIPA with Oberland, depreciation and amortization and changes in working capital.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right="420"/>
        <w:spacing w:after="0" w:line="312" w:lineRule="auto"/>
        <w:rPr>
          <w:sz w:val="20"/>
          <w:szCs w:val="20"/>
          <w:color w:val="auto"/>
        </w:rPr>
      </w:pPr>
      <w:r>
        <w:rPr>
          <w:rFonts w:ascii="Times New Roman" w:cs="Times New Roman" w:eastAsia="Times New Roman" w:hAnsi="Times New Roman"/>
          <w:sz w:val="17"/>
          <w:szCs w:val="17"/>
          <w:color w:val="auto"/>
        </w:rPr>
        <w:t>Net cash used in investing activities of $13.1 million for the six months ended June 30, 2022 consisted of purchases of highly liquid, interest bearing investment grade and government securities. We did not have cash provided by or used in investing activities for the six months ended June 30, 2021.</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Funds invested in available-for-sale investments in the six months ended June 30, 2022 will become available for our use over the next twelve months.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of $16.7 million for the six months ended June 30, 2022 related primarily to proceeds from our ATM program, partially offset by payments on our revenue interest liability. Net cash provided by financing activities of $51.2 million for the six months ended June 30, 2021 related primarily to $50 million in cash from our RIPA with Oberland and proceeds from exercise of our common stock, offset by payments on our revenue interest liability.</w:t>
      </w:r>
    </w:p>
    <w:p>
      <w:pPr>
        <w:spacing w:after="0" w:line="16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On August 3, 2021, we filed an automatically effective registration statement on Form S-3ASR, or Registration Statement, with the SEC which registers the offering, issuance and sale of an unspecified amount of common stock, preferred stock, debt securities, warrants and/or units of any combination thereof. We simultaneously entered into an open market sale agreement with Jefferies LLC, as sales agent, to provide for the issuance and sale by the Company of up to $250 million of common stock from time to time in “at-the-market” offerings under the Registration Statement and related prospectus filed with the Registration Statement, or the ATM Program. During the year ended December 31, 2021, we issued 897,364 shares of common stock resulting in net proceeds of approximately $9.7 million after deducting underwriting discounts and commissions and other expenses, pursuant to the ATM Program. On April 15, 2022, the Company filed a new registration statement on Form S-3, which registers the offering, issuance and sale of up to $239 million of common stock from time to time in “at-the-market” offerings under the Registration Statement and related prospectus filed with the Registration Statement (the “New ATM Program”). During the six months ended June 30, 2022, the Company issued 3,353,000 shares of common stock resulting in net proceeds of approximately $20.2 million after deducting $0.8 million of underwriting discounts and commissions and other expenses, pursuant to the New ATM Program. We may continue to use the New ATM Program to address potential short-term or long-term funding requirements that may arise. Such program will continue to be subject to the volatility of the price of our common stock and general market conditions.</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20"/>
        <w:spacing w:after="0" w:line="236" w:lineRule="auto"/>
        <w:rPr>
          <w:sz w:val="20"/>
          <w:szCs w:val="20"/>
          <w:color w:val="auto"/>
        </w:rPr>
      </w:pPr>
      <w:r>
        <w:rPr>
          <w:rFonts w:ascii="Times New Roman" w:cs="Times New Roman" w:eastAsia="Times New Roman" w:hAnsi="Times New Roman"/>
          <w:sz w:val="18"/>
          <w:szCs w:val="18"/>
          <w:color w:val="auto"/>
        </w:rPr>
        <w:t>In December 2021, we entered into an underwriting agreement pursuant to which we sold 32,142,858 shares of common stock and issued accompanying warrants to purchase up to an aggregate of 36,964,286 shares of our common stock. The warrants are immediately exercisable and will expire two years from the date of issuance, at an exercise price of $9.00 per share, which may provide us with additional funding, if such warrants are exercised by their holders.</w:t>
      </w:r>
    </w:p>
    <w:p>
      <w:pPr>
        <w:spacing w:after="0" w:line="198"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In 2019, we entered into a RIPA with Oberland. Pursuant to the RIPA, Oberland paid us $125.0 million at closing, less certain issuance costs, and, subject to the terms and conditions of the RIPA, we received an additional $25.0 million upon regulatory approval of NEXLETOL in 2020 and were eligible to receive an additional $50.0 million at our option upon reaching certain sales thresholds. In April 2021, we entered into Amendment No. 2 to the RIPA and Oberland waived the original trailing six-month world-wide net sales condition to the third installment payment under the RIPA and released the final $50 million payment payable to us under the terms of the RIPA. The amendment also updated the tiered payment percentage. As the quarterly net revenue from sales of NEXLETOL and NEXLIZET and certain other products in the United States did not exceed $15.0 million for the quarter ended September 30, 2021, we deposited $50.0 million in a deposit account with Oberland, which reduced our unrestricted cash. As consideration for the payments, Oberland has the right to receive certain revenue interests from us based on the net sales of certain products which will be tiered payments ranging from 3.3% to 10% of our net sales in the covered territory (as detailed in the RIPA). Esperion reacquires 100% revenue rights upon repayment completion. We recorded the proceeds from the RIPA as a liability on the balance sheets and are accounting for the RIPA under the effective-interest method over the estimated life of the RIPA. Future payments under the RIPA may range from $22.0 million in the next year to a maximum total payment of $420.8 million beyond one year. Per the terms of the agreement, every $100 million of net sales generated, less than or equal to $250 million in an annual aggregate, would result in a repayment obligation of approximately $10.0 million or 10% at the stated repayment rate in the first year. In the future, as net sales thresholds set forth in the agreement are met and the repayment percentage rate changes, the amount of the obligation and timing of payment is likely to change. As the U.S. net sales were less than $350 million for the year ended December 31, 2021, the Covered Territory was expanded to include worldwide sales beginning in 2022. A significant increase or decrease in net sales will materially impact the revenue interest liability, interest expense and the time period for repayment. Refer to Note 8 "Liability Related to the Revenue Interest Purchase Agreement" in our condensed financial statements included in this Form 10-Q for the quarter ended June 30, 2022 for further information.</w:t>
      </w:r>
    </w:p>
    <w:p>
      <w:pPr>
        <w:spacing w:after="0" w:line="204"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8"/>
          <w:szCs w:val="18"/>
          <w:color w:val="auto"/>
        </w:rPr>
        <w:t>On November 16, 2020, we issued $250.0 million aggregate principal amount of 4.00% convertible senior subordinated notes due 2025 to certain financial institutions as the initial purchasers of the convertible notes. An additional $30.0 million of additional convertible notes (collectively, the "Convertible Notes"), which were issued pursuant to the exercise of the initial purchasers' option to purchase such convertible notes, closed on November 18, 2020. On October 22, 2021, we entered into the Exchange Agreement with the Holders of our Convertible Notes. Under the terms of the Exchange Agreement the Holders agreed to exchange with us $15.0 million aggregate principal amount of Convertible Notes held in the aggregate by them (and accrued interest thereon) for shares of our common stock, which closed on November 3, 2021. Future payments under the convertible notes include annual interest of $10.6 million and a principal payment of $265.0 million in 2025. Refer to Note 9 "Convertible Notes" in our condensed financial statements included in this Form 10-Q for the quarter ended June 30, 2022 for further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of Operations and Funding Requirements</w:t>
      </w:r>
    </w:p>
    <w:p>
      <w:pPr>
        <w:spacing w:after="0" w:line="21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We expect to continue to incur significant expenses and operating losses for the foreseeable future in connection with study completion activities for our ongoing CLEAR Outcomes CVOT and our continued commercialization activities associated with NEXLETOL and NEXLIZET in the U.S. Pursuant to the license and collaboration agreements with DSE, Otsuka, and DS, we are eligible for substantial additional sales and regulatory milestone payments and royalties. We estimate that current cash resources, proceeds to be received in the future for product sales and proceeds under the collaboration agreements with Daiichi Sankyo and Otsuka are sufficient to allow us to complete and report results from the CLEAR Outcomes CVOT and fund continuing operations for the foreseeable future beyond the CVOT read-out. We have based these estimates on assumptions that may prove to be wrong, and we may use our available capital resources sooner than we currently expect. We may need to secure additional cash resources or implement certain additional cost reduction initiatives to continue to fund the commercialization and further development of bempedoic acid and the bempedoic acid / ezetimibe combination tablet, particularly if there are delays in the completion of the CLEAR Outcomes CVOT or our net product sales do not meet our expectations. Because of the numerous risks and uncertainties associated with the development and ongoing commercialization of bempedoic acid and the bempedoic acid / ezetimibe combination tablet and the extent to which we entered and may enter into collaborations with pharmaceutical partners regarding the development and commercialization of bempedoic acid and the bempedoic acid / ezetimibe combination tablet, we are unable to estimate the amounts of increased capital outlays and operating expenses associated with completing the development and commercialization of bempedoic acid and the bempedoic acid / ezetimibe combination tablet. Our future funding requirements will depend on many factors, including, but not limited to:</w:t>
      </w:r>
    </w:p>
    <w:p>
      <w:pPr>
        <w:spacing w:after="0" w:line="229"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and commercialize NEXLETOL and NEXLIZET or other product candidates;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78"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1300" w:right="20" w:hanging="644"/>
        <w:spacing w:after="0" w:line="282"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outcomes of our CLEAR Outcomes CVOT and other ongoing clinical studies of bempedoic acid and the bempedoic acid / ezetimibe combination tablet;</w:t>
      </w:r>
    </w:p>
    <w:p>
      <w:pPr>
        <w:spacing w:after="0" w:line="161"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necessary to obtain regulatory approvals for bempedoic acid and the bempedoic acid / ezetimibe combination tablet outside the U.S. and Europe;</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any future collaboration or commercialization arrangements on favorable terms, if at all;</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intended benefits of our existing and future collaboration and partnerships;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operational and financial information technology.</w:t>
      </w:r>
    </w:p>
    <w:p>
      <w:pPr>
        <w:spacing w:after="0" w:line="212" w:lineRule="exact"/>
        <w:rPr>
          <w:sz w:val="20"/>
          <w:szCs w:val="20"/>
          <w:color w:val="auto"/>
        </w:rPr>
      </w:pPr>
    </w:p>
    <w:p>
      <w:pPr>
        <w:ind w:right="20" w:firstLine="648"/>
        <w:spacing w:after="0" w:line="226" w:lineRule="auto"/>
        <w:rPr>
          <w:sz w:val="20"/>
          <w:szCs w:val="20"/>
          <w:color w:val="auto"/>
        </w:rPr>
      </w:pPr>
      <w:r>
        <w:rPr>
          <w:rFonts w:ascii="Times New Roman" w:cs="Times New Roman" w:eastAsia="Times New Roman" w:hAnsi="Times New Roman"/>
          <w:sz w:val="18"/>
          <w:szCs w:val="18"/>
          <w:color w:val="auto"/>
        </w:rPr>
        <w:t>Until such time, if ever, as we can generate U.S. substantial product revenues, we expect to finance our cash needs through a combination of collaborations with third parties, strategic alliances, licensing arrangements, permitted debt financings, permitted royalty-based financings and equity offerings or other sources. To the extent that we raise additional capital through the sale of equity or convertible debt securities, the ownership interest of our stockholders will be diluted, and the terms of these securities may include liquidation or other preferences that adversely affect your rights as a common stockholder. Debt financing, if available and permitted under the terms of our RIPA, may involve agreements that include covenants limiting or restricting our ability to take specific actions, such as incurring additional debt, making capital expenditures or declaring dividends. If we raise additional funds through collaborations, strategic alliances or licensing arrangements with pharmaceutical partners or royalty-based financing arrangements, such as the collaboration arrangement with DSE, Otsuka and DS, and the RIPA with Oberland, we may have to relinquish valuable rights to our technologies, future revenue streams or grant licenses on terms that may not be favorable to us. For instance, as part of the RIPA with Oberland, Oberland has the right to receive certain revenue interests from us based on the net sales of certain products, and we have granted Oberland a senior security interest in certain of our assets. If our cash flows and capital resources are insufficient to allow us to make required payments, we may have to reduce or delay capital expenditures, sell assets or seek additional capital. If we raise funds by selling additional equity, such sale would result in dilution to our stockholders. If we are unable to raise additional funds through equity or permitted debt financings or through collaborations, strategic alliances or licensing arrangements or permitted royalty-based financing arrangements when needed, we may be required to delay, limit, reduce or terminate our product development or future commercialization efforts or grant rights to develop and market bempedoic acid and the bempedoic acid / ezetimibe combination tablet that we would otherwise prefer to develop and market ourselves.</w:t>
      </w:r>
    </w:p>
    <w:p>
      <w:pPr>
        <w:spacing w:after="0" w:line="202"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We do not currently have, nor did we have during the periods presented, any off-balance sheet arrangements as defined by Securities and Exchange Commission rules.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with respect to the information appearing in Part II, Item 7A, “Quantitative and Qualitative Disclosures About Market Risk,” in our Annual Report on Form 10-K for the fiscal year ended December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that we file or submit under the Securities and Exchange Act of 1934 is (1) recorded, processed, summarized, and reported within the time periods specified in the SEC’s rules and forms and (2) accumulated and communicated to our management, including our President and Chief Executive Officer, who is our principal executive officer and currently serving as our principal financial officer, to allow timely decisions regarding required disclosure.</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of June 30, 2022, our management, with the participation of our principal executive officer and principal financial officer, evaluated the effectiveness of our disclosure controls and procedures (as defined in Rules 13a-15(e) and 15d-15(e) under the Securities and Exchange Act of 1934).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who is also serving as our principal financial officer, has concluded based upon the evaluation described above that, as of June 30, 2022, our disclosure controls and procedures were effective at the reasonable assurance level.</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that occurred during the period covered by this report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information required with respect to this item can be found under “Commitments and Contingencies” in Note 5 to our condensed financial statements included elsewhere in this Form 10-Q and is incorporated by reference into this Item 1.</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the future, we may become party to legal matters and claims arising in the ordinary course of business, the resolution of which we do not anticipate would have a material adverse impact on our financial position, results of operations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240" w:firstLine="648"/>
        <w:spacing w:after="0" w:line="275" w:lineRule="auto"/>
        <w:rPr>
          <w:sz w:val="20"/>
          <w:szCs w:val="20"/>
          <w:color w:val="auto"/>
        </w:rPr>
      </w:pPr>
      <w:r>
        <w:rPr>
          <w:rFonts w:ascii="Times New Roman" w:cs="Times New Roman" w:eastAsia="Times New Roman" w:hAnsi="Times New Roman"/>
          <w:sz w:val="17"/>
          <w:szCs w:val="17"/>
          <w:i w:val="1"/>
          <w:iCs w:val="1"/>
          <w:color w:val="auto"/>
        </w:rPr>
        <w:t>Except for the historical information contained herein or incorporated by reference, this report and the information incorporated by reference contains forward-looking statements that involve risks and uncertainties. These statements include projections about our accounting and finances, plans and objectives for the future, future operating and economic performance and other statements regarding future performance. These statements are not guarantees of future performance or events. Our actual results could differ materially from those discussed in this report. Factors that could cause or contribute to these differences include, but are not limited to, those discussed in Part I, Item 2 entitled "Management's Discussion and Analysis of Financial Condition and Results of Operations" and elsewhere throughout this report and in any documents incorporated in this report by reference.</w:t>
      </w:r>
    </w:p>
    <w:p>
      <w:pPr>
        <w:spacing w:after="0" w:line="19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You should consider carefully the following risk factors, together with those set forth in Part I, Item 1A in our Annual Report on Form 10-K for the fiscal year ended December 31, 2021 and in all of the other information included or incorporated in this report. The following risk factors represent new risk factors or those containing changes, including material changes, to the risk factors set forth in Part I, Item 1A of our Annual Report on Form 10-K for the fiscal year ended December 31, 2021. If any of the previously identified or following risks, either alone or taken together, or other risks not presently known to us or that we currently believe to not be significant, develop into actual events, then our business, financial condition, results of operations or prospects could be materially adversely affected. If that happens, the market price of our common stock could decline, and stockholders may lose all or part of their investment.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Impact of Uncertain Capital Markets</w:t>
      </w:r>
    </w:p>
    <w:p>
      <w:pPr>
        <w:spacing w:after="0" w:line="293"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7"/>
          <w:szCs w:val="17"/>
          <w:b w:val="1"/>
          <w:bCs w:val="1"/>
          <w:i w:val="1"/>
          <w:iCs w:val="1"/>
          <w:color w:val="auto"/>
        </w:rPr>
        <w:t>We have in the past relied in part on sales of our common shares through our at-the-market (ATM) offering program. Increased volatility and decreases in market prices of equity securities generally and of our common shares in particular may have an adverse impact on our willingness and/or</w:t>
      </w: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ability to continue to sell our common shares through our ATM offering. Decreases in these sales would/could affect the cost or availability of equity capital, which could in turn have an adverse effect on our business, including current operations, future growth, revenues, net income and the market prices of our common shares.</w:t>
      </w:r>
    </w:p>
    <w:p>
      <w:pPr>
        <w:spacing w:after="0" w:line="202"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color w:val="auto"/>
        </w:rPr>
        <w:t>On August 3, 2021, we commenced an at-the-market, or ATM, program to raise capital under an automatically effective registration statement on Form S-3ASR, which was replaced on April 15, 2022 with a new registration statement on Form S-3. Under our ATM program, we have entered into a sales agreement to sell common shares, up to a maximum aggregate market value of $250 million, through one or more at-the-market offerings. Given the</w:t>
      </w:r>
    </w:p>
    <w:p>
      <w:pPr>
        <w:spacing w:after="0" w:line="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volatility in the capital markets, we may not be willing or able to continue to raise equity capital through our ATM program. We may, therefore, need to turn to other sources of funding that may have terms that are not favorable to us, or reduce our business operations given capital constraints.</w:t>
      </w:r>
    </w:p>
    <w:p>
      <w:pPr>
        <w:spacing w:after="0" w:line="18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Alternative financing arrangements, if we pursue any, could involve issuances of one or more types of securities, including common stock, preferred stock, convertible debt, warrants to acquire common stock or other securities. These securities could be issued at or below the then prevailing market price for our common shares. In addition, if we issue debt securities, the holders of the debt would have a claim to our assets that would be superior to the rights of stockholders until the principal, accrued and unpaid interest and any premium or make-whole has been paid.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Recent volatility in capital markets and lower market prices for our securities may affect our ability to access new capital through sales of shares of our common stock or issuance of indebtedness, which may materially harm our liquidity, limit our ability to grow our business, pursue acquisitions or improve our operating infrastructure and restrict our ability to compete in our markets.</w:t>
      </w:r>
    </w:p>
    <w:p>
      <w:pPr>
        <w:spacing w:after="0" w:line="202"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Our operations consume substantial amounts of cash, and we may increase our investment in our commercial infrastructure after we report top-line results from the CLEAR Outcomes trial in the first quarter of 2023. Our future capital requirements may be significantly different from our current estimates and will depend on many factors, including the need to:</w:t>
      </w:r>
    </w:p>
    <w:p>
      <w:pPr>
        <w:spacing w:after="0" w:line="203"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unanticipated working capital requirements;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or enhance our technological infrastructure and our existing solutions;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w:t>
      </w:r>
    </w:p>
    <w:p>
      <w:pPr>
        <w:spacing w:after="0" w:line="25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Accordingly, we may need to pursue equity or debt financings to meet our capital needs. With uncertainty in the capital markets and other factors, such financing may not be available on terms favorable to us or at all.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we could face significant limitations on our ability to invest in our operations and otherwise suffer harm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exhibits filed or furnished as part of this Quarterly Report on Form 10-Q are set forth on the Exhibit Index, which Exhibit Index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70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Incorporated by Reference to:</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180" w:type="dxa"/>
            <w:vAlign w:val="bottom"/>
            <w:gridSpan w:val="6"/>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vMerge w:val="restart"/>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Form or</w:t>
            </w:r>
          </w:p>
        </w:tc>
        <w:tc>
          <w:tcPr>
            <w:tcW w:w="114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Filing</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 File</w:t>
            </w:r>
          </w:p>
        </w:tc>
        <w:tc>
          <w:tcPr>
            <w:tcW w:w="0" w:type="dxa"/>
            <w:vAlign w:val="bottom"/>
          </w:tcPr>
          <w:p>
            <w:pPr>
              <w:spacing w:after="0"/>
              <w:rPr>
                <w:sz w:val="1"/>
                <w:szCs w:val="1"/>
                <w:color w:val="auto"/>
              </w:rPr>
            </w:pPr>
          </w:p>
        </w:tc>
      </w:tr>
      <w:tr>
        <w:trPr>
          <w:trHeight w:val="148"/>
        </w:trPr>
        <w:tc>
          <w:tcPr>
            <w:tcW w:w="1180" w:type="dxa"/>
            <w:vAlign w:val="bottom"/>
            <w:gridSpan w:val="6"/>
            <w:vMerge w:val="continue"/>
          </w:tcPr>
          <w:p>
            <w:pPr>
              <w:spacing w:after="0"/>
              <w:rPr>
                <w:sz w:val="12"/>
                <w:szCs w:val="12"/>
                <w:color w:val="auto"/>
              </w:rPr>
            </w:pPr>
          </w:p>
        </w:tc>
        <w:tc>
          <w:tcPr>
            <w:tcW w:w="340" w:type="dxa"/>
            <w:vAlign w:val="bottom"/>
          </w:tcPr>
          <w:p>
            <w:pPr>
              <w:spacing w:after="0"/>
              <w:rPr>
                <w:sz w:val="12"/>
                <w:szCs w:val="12"/>
                <w:color w:val="auto"/>
              </w:rPr>
            </w:pPr>
          </w:p>
        </w:tc>
        <w:tc>
          <w:tcPr>
            <w:tcW w:w="4220" w:type="dxa"/>
            <w:vAlign w:val="bottom"/>
            <w:gridSpan w:val="17"/>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18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with</w:t>
            </w: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4"/>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No.</w:t>
            </w:r>
          </w:p>
        </w:tc>
        <w:tc>
          <w:tcPr>
            <w:tcW w:w="340" w:type="dxa"/>
            <w:vAlign w:val="bottom"/>
            <w:tcBorders>
              <w:bottom w:val="single" w:sz="8" w:color="auto"/>
            </w:tcBorders>
          </w:tcPr>
          <w:p>
            <w:pPr>
              <w:spacing w:after="0"/>
              <w:rPr>
                <w:sz w:val="17"/>
                <w:szCs w:val="17"/>
                <w:color w:val="auto"/>
              </w:rPr>
            </w:pPr>
          </w:p>
        </w:tc>
        <w:tc>
          <w:tcPr>
            <w:tcW w:w="4220" w:type="dxa"/>
            <w:vAlign w:val="bottom"/>
            <w:tcBorders>
              <w:bottom w:val="single" w:sz="8" w:color="auto"/>
            </w:tcBorders>
            <w:gridSpan w:val="17"/>
            <w:vMerge w:val="continue"/>
          </w:tcPr>
          <w:p>
            <w:pPr>
              <w:spacing w:after="0"/>
              <w:rPr>
                <w:sz w:val="17"/>
                <w:szCs w:val="17"/>
                <w:color w:val="auto"/>
              </w:rPr>
            </w:pPr>
          </w:p>
        </w:tc>
        <w:tc>
          <w:tcPr>
            <w:tcW w:w="118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1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No.</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324"/>
        </w:trPr>
        <w:tc>
          <w:tcPr>
            <w:tcW w:w="720" w:type="dxa"/>
            <w:vAlign w:val="bottom"/>
            <w:gridSpan w:val="5"/>
          </w:tcPr>
          <w:p>
            <w:pPr>
              <w:jc w:val="center"/>
              <w:ind w:left="280"/>
              <w:spacing w:after="0"/>
              <w:rPr>
                <w:rFonts w:ascii="Times New Roman" w:cs="Times New Roman" w:eastAsia="Times New Roman" w:hAnsi="Times New Roman"/>
                <w:sz w:val="16"/>
                <w:szCs w:val="16"/>
                <w:color w:val="0000FF"/>
                <w:w w:val="99"/>
              </w:rPr>
            </w:pPr>
            <w:hyperlink r:id="rId54">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1</w:t>
              </w:r>
            </w:hyperlink>
          </w:p>
        </w:tc>
        <w:tc>
          <w:tcPr>
            <w:tcW w:w="460" w:type="dxa"/>
            <w:vAlign w:val="bottom"/>
          </w:tcPr>
          <w:p>
            <w:pPr>
              <w:spacing w:after="0"/>
              <w:rPr>
                <w:sz w:val="24"/>
                <w:szCs w:val="24"/>
                <w:color w:val="auto"/>
              </w:rPr>
            </w:pPr>
          </w:p>
        </w:tc>
        <w:tc>
          <w:tcPr>
            <w:tcW w:w="4560" w:type="dxa"/>
            <w:vAlign w:val="bottom"/>
            <w:gridSpan w:val="18"/>
          </w:tcPr>
          <w:p>
            <w:pPr>
              <w:spacing w:after="0"/>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Certificate of Amendment to Amended and Restated Certificate of</w:t>
              </w:r>
            </w:hyperlink>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26, 2022</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001-35986</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Incorporation of the registrant.</w:t>
              </w:r>
            </w:hyperlink>
          </w:p>
        </w:tc>
        <w:tc>
          <w:tcPr>
            <w:tcW w:w="232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01"/>
        </w:trPr>
        <w:tc>
          <w:tcPr>
            <w:tcW w:w="720" w:type="dxa"/>
            <w:vAlign w:val="bottom"/>
            <w:gridSpan w:val="5"/>
          </w:tcPr>
          <w:p>
            <w:pPr>
              <w:jc w:val="center"/>
              <w:ind w:left="280"/>
              <w:spacing w:after="0"/>
              <w:rPr>
                <w:rFonts w:ascii="Times New Roman" w:cs="Times New Roman" w:eastAsia="Times New Roman" w:hAnsi="Times New Roman"/>
                <w:sz w:val="16"/>
                <w:szCs w:val="16"/>
                <w:color w:val="0000FF"/>
                <w:w w:val="99"/>
              </w:rPr>
            </w:pPr>
            <w:hyperlink r:id="rId55">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w:t>
              </w:r>
            </w:hyperlink>
          </w:p>
        </w:tc>
        <w:tc>
          <w:tcPr>
            <w:tcW w:w="460" w:type="dxa"/>
            <w:vAlign w:val="bottom"/>
          </w:tcPr>
          <w:p>
            <w:pPr>
              <w:spacing w:after="0"/>
              <w:rPr>
                <w:sz w:val="24"/>
                <w:szCs w:val="24"/>
                <w:color w:val="auto"/>
              </w:rPr>
            </w:pPr>
          </w:p>
        </w:tc>
        <w:tc>
          <w:tcPr>
            <w:tcW w:w="4560" w:type="dxa"/>
            <w:vAlign w:val="bottom"/>
            <w:gridSpan w:val="18"/>
          </w:tcPr>
          <w:p>
            <w:pPr>
              <w:spacing w:after="0"/>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Employment Agreement, dated June 9, 2022, by and between</w:t>
              </w:r>
            </w:hyperlink>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13, 2022</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001-35986</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60" w:type="dxa"/>
            <w:vAlign w:val="bottom"/>
          </w:tcPr>
          <w:p>
            <w:pPr>
              <w:spacing w:after="0"/>
              <w:rPr>
                <w:sz w:val="12"/>
                <w:szCs w:val="12"/>
                <w:color w:val="auto"/>
              </w:rPr>
            </w:pPr>
          </w:p>
        </w:tc>
        <w:tc>
          <w:tcPr>
            <w:tcW w:w="3200" w:type="dxa"/>
            <w:vAlign w:val="bottom"/>
            <w:tcBorders>
              <w:top w:val="single" w:sz="8" w:color="0000FF"/>
              <w:bottom w:val="single" w:sz="8" w:color="0000FF"/>
            </w:tcBorders>
            <w:gridSpan w:val="7"/>
          </w:tcPr>
          <w:p>
            <w:pPr>
              <w:spacing w:after="0" w:line="142" w:lineRule="exact"/>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Esperion Therapeutics, Inc. and Sheldon Koenig.</w:t>
              </w:r>
            </w:hyperlink>
          </w:p>
        </w:tc>
        <w:tc>
          <w:tcPr>
            <w:tcW w:w="800" w:type="dxa"/>
            <w:vAlign w:val="bottom"/>
            <w:tcBorders>
              <w:top w:val="single" w:sz="8" w:color="0000FF"/>
            </w:tcBorders>
            <w:gridSpan w:val="2"/>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720" w:type="dxa"/>
            <w:vAlign w:val="bottom"/>
            <w:gridSpan w:val="5"/>
          </w:tcPr>
          <w:p>
            <w:pPr>
              <w:jc w:val="center"/>
              <w:ind w:left="280"/>
              <w:spacing w:after="0"/>
              <w:rPr>
                <w:rFonts w:ascii="Times New Roman" w:cs="Times New Roman" w:eastAsia="Times New Roman" w:hAnsi="Times New Roman"/>
                <w:sz w:val="16"/>
                <w:szCs w:val="16"/>
                <w:color w:val="0000FF"/>
                <w:w w:val="99"/>
              </w:rPr>
            </w:pPr>
            <w:hyperlink r:id="rId56">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2#</w:t>
              </w:r>
            </w:hyperlink>
          </w:p>
        </w:tc>
        <w:tc>
          <w:tcPr>
            <w:tcW w:w="460" w:type="dxa"/>
            <w:vAlign w:val="bottom"/>
          </w:tcPr>
          <w:p>
            <w:pPr>
              <w:spacing w:after="0"/>
              <w:rPr>
                <w:sz w:val="24"/>
                <w:szCs w:val="24"/>
                <w:color w:val="auto"/>
              </w:rPr>
            </w:pPr>
          </w:p>
        </w:tc>
        <w:tc>
          <w:tcPr>
            <w:tcW w:w="4560" w:type="dxa"/>
            <w:vAlign w:val="bottom"/>
            <w:gridSpan w:val="18"/>
          </w:tcPr>
          <w:p>
            <w:pPr>
              <w:spacing w:after="0"/>
              <w:rPr>
                <w:rFonts w:ascii="Times New Roman" w:cs="Times New Roman" w:eastAsia="Times New Roman" w:hAnsi="Times New Roman"/>
                <w:sz w:val="16"/>
                <w:szCs w:val="16"/>
                <w:color w:val="0000FF"/>
              </w:rPr>
            </w:pPr>
            <w:hyperlink r:id="rId56">
              <w:r>
                <w:rPr>
                  <w:rFonts w:ascii="Times New Roman" w:cs="Times New Roman" w:eastAsia="Times New Roman" w:hAnsi="Times New Roman"/>
                  <w:sz w:val="16"/>
                  <w:szCs w:val="16"/>
                  <w:color w:val="0000FF"/>
                </w:rPr>
                <w:t>Employment Agreement, dated June 9, 2022, by and between</w:t>
              </w:r>
            </w:hyperlink>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13, 2022</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001-35986</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60" w:type="dxa"/>
            <w:vAlign w:val="bottom"/>
          </w:tcPr>
          <w:p>
            <w:pPr>
              <w:spacing w:after="0"/>
              <w:rPr>
                <w:sz w:val="12"/>
                <w:szCs w:val="12"/>
                <w:color w:val="auto"/>
              </w:rPr>
            </w:pPr>
          </w:p>
        </w:tc>
        <w:tc>
          <w:tcPr>
            <w:tcW w:w="3100" w:type="dxa"/>
            <w:vAlign w:val="bottom"/>
            <w:tcBorders>
              <w:top w:val="single" w:sz="8" w:color="0000FF"/>
              <w:bottom w:val="single" w:sz="8" w:color="0000FF"/>
            </w:tcBorders>
            <w:gridSpan w:val="6"/>
          </w:tcPr>
          <w:p>
            <w:pPr>
              <w:spacing w:after="0" w:line="142" w:lineRule="exact"/>
              <w:rPr>
                <w:rFonts w:ascii="Times New Roman" w:cs="Times New Roman" w:eastAsia="Times New Roman" w:hAnsi="Times New Roman"/>
                <w:sz w:val="16"/>
                <w:szCs w:val="16"/>
                <w:color w:val="0000FF"/>
              </w:rPr>
            </w:pPr>
            <w:hyperlink r:id="rId56">
              <w:r>
                <w:rPr>
                  <w:rFonts w:ascii="Times New Roman" w:cs="Times New Roman" w:eastAsia="Times New Roman" w:hAnsi="Times New Roman"/>
                  <w:sz w:val="16"/>
                  <w:szCs w:val="16"/>
                  <w:color w:val="0000FF"/>
                </w:rPr>
                <w:t>Esperion Therapeutics, Inc. and JoAnne Foody.</w:t>
              </w:r>
            </w:hyperlink>
          </w:p>
        </w:tc>
        <w:tc>
          <w:tcPr>
            <w:tcW w:w="900" w:type="dxa"/>
            <w:vAlign w:val="bottom"/>
            <w:tcBorders>
              <w:top w:val="single" w:sz="8" w:color="0000FF"/>
            </w:tcBorders>
            <w:gridSpan w:val="3"/>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01"/>
        </w:trPr>
        <w:tc>
          <w:tcPr>
            <w:tcW w:w="720" w:type="dxa"/>
            <w:vAlign w:val="bottom"/>
            <w:gridSpan w:val="5"/>
          </w:tcPr>
          <w:p>
            <w:pPr>
              <w:jc w:val="center"/>
              <w:ind w:left="280"/>
              <w:spacing w:after="0"/>
              <w:rPr>
                <w:rFonts w:ascii="Times New Roman" w:cs="Times New Roman" w:eastAsia="Times New Roman" w:hAnsi="Times New Roman"/>
                <w:sz w:val="16"/>
                <w:szCs w:val="16"/>
                <w:color w:val="0000FF"/>
                <w:w w:val="99"/>
              </w:rPr>
            </w:pPr>
            <w:hyperlink r:id="rId57">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3#</w:t>
              </w:r>
            </w:hyperlink>
          </w:p>
        </w:tc>
        <w:tc>
          <w:tcPr>
            <w:tcW w:w="460" w:type="dxa"/>
            <w:vAlign w:val="bottom"/>
          </w:tcPr>
          <w:p>
            <w:pPr>
              <w:spacing w:after="0"/>
              <w:rPr>
                <w:sz w:val="24"/>
                <w:szCs w:val="24"/>
                <w:color w:val="auto"/>
              </w:rPr>
            </w:pPr>
          </w:p>
        </w:tc>
        <w:tc>
          <w:tcPr>
            <w:tcW w:w="4560" w:type="dxa"/>
            <w:vAlign w:val="bottom"/>
            <w:gridSpan w:val="18"/>
          </w:tcPr>
          <w:p>
            <w:pPr>
              <w:spacing w:after="0"/>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Employment Agreement, dated June 9, 2022, by and between</w:t>
              </w:r>
            </w:hyperlink>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13, 2022</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001-35986</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60" w:type="dxa"/>
            <w:vAlign w:val="bottom"/>
          </w:tcPr>
          <w:p>
            <w:pPr>
              <w:spacing w:after="0"/>
              <w:rPr>
                <w:sz w:val="12"/>
                <w:szCs w:val="12"/>
                <w:color w:val="auto"/>
              </w:rPr>
            </w:pPr>
          </w:p>
        </w:tc>
        <w:tc>
          <w:tcPr>
            <w:tcW w:w="4000" w:type="dxa"/>
            <w:vAlign w:val="bottom"/>
            <w:tcBorders>
              <w:top w:val="single" w:sz="8" w:color="0000FF"/>
            </w:tcBorders>
            <w:gridSpan w:val="9"/>
          </w:tcPr>
          <w:p>
            <w:pPr>
              <w:spacing w:after="0" w:line="142" w:lineRule="exact"/>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Esperion Therapeutics, Inc. and Eric Warren.</w:t>
              </w:r>
            </w:hyperlink>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720" w:type="dxa"/>
            <w:vAlign w:val="bottom"/>
            <w:gridSpan w:val="5"/>
          </w:tcPr>
          <w:p>
            <w:pPr>
              <w:jc w:val="center"/>
              <w:ind w:left="280"/>
              <w:spacing w:after="0"/>
              <w:rPr>
                <w:rFonts w:ascii="Times New Roman" w:cs="Times New Roman" w:eastAsia="Times New Roman" w:hAnsi="Times New Roman"/>
                <w:sz w:val="16"/>
                <w:szCs w:val="16"/>
                <w:color w:val="0000FF"/>
                <w:w w:val="99"/>
              </w:rPr>
            </w:pPr>
            <w:hyperlink r:id="rId58">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4#</w:t>
              </w:r>
            </w:hyperlink>
          </w:p>
        </w:tc>
        <w:tc>
          <w:tcPr>
            <w:tcW w:w="460" w:type="dxa"/>
            <w:vAlign w:val="bottom"/>
          </w:tcPr>
          <w:p>
            <w:pPr>
              <w:spacing w:after="0"/>
              <w:rPr>
                <w:sz w:val="24"/>
                <w:szCs w:val="24"/>
                <w:color w:val="auto"/>
              </w:rPr>
            </w:pPr>
          </w:p>
        </w:tc>
        <w:tc>
          <w:tcPr>
            <w:tcW w:w="4560" w:type="dxa"/>
            <w:vAlign w:val="bottom"/>
            <w:gridSpan w:val="18"/>
          </w:tcPr>
          <w:p>
            <w:pPr>
              <w:spacing w:after="0"/>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Employment Agreement, dated June 9, 2022, by and between</w:t>
              </w:r>
            </w:hyperlink>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13, 2022</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001-35986</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60" w:type="dxa"/>
            <w:vAlign w:val="bottom"/>
          </w:tcPr>
          <w:p>
            <w:pPr>
              <w:spacing w:after="0"/>
              <w:rPr>
                <w:sz w:val="12"/>
                <w:szCs w:val="12"/>
                <w:color w:val="auto"/>
              </w:rPr>
            </w:pPr>
          </w:p>
        </w:tc>
        <w:tc>
          <w:tcPr>
            <w:tcW w:w="3280" w:type="dxa"/>
            <w:vAlign w:val="bottom"/>
            <w:tcBorders>
              <w:top w:val="single" w:sz="8" w:color="0000FF"/>
              <w:bottom w:val="single" w:sz="8" w:color="0000FF"/>
            </w:tcBorders>
            <w:gridSpan w:val="8"/>
          </w:tcPr>
          <w:p>
            <w:pPr>
              <w:spacing w:after="0" w:line="142" w:lineRule="exact"/>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Esperion Therapeutics, Inc. and Benjamin Looker.</w:t>
              </w:r>
            </w:hyperlink>
          </w:p>
        </w:tc>
        <w:tc>
          <w:tcPr>
            <w:tcW w:w="720" w:type="dxa"/>
            <w:vAlign w:val="bottom"/>
            <w:tcBorders>
              <w:top w:val="single" w:sz="8" w:color="0000FF"/>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720" w:type="dxa"/>
            <w:vAlign w:val="bottom"/>
            <w:gridSpan w:val="5"/>
          </w:tcPr>
          <w:p>
            <w:pPr>
              <w:jc w:val="center"/>
              <w:ind w:left="280"/>
              <w:spacing w:after="0"/>
              <w:rPr>
                <w:rFonts w:ascii="Times New Roman" w:cs="Times New Roman" w:eastAsia="Times New Roman" w:hAnsi="Times New Roman"/>
                <w:sz w:val="16"/>
                <w:szCs w:val="16"/>
                <w:color w:val="0000FF"/>
                <w:w w:val="99"/>
              </w:rPr>
            </w:pPr>
            <w:hyperlink r:id="rId59">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5#</w:t>
              </w:r>
            </w:hyperlink>
          </w:p>
        </w:tc>
        <w:tc>
          <w:tcPr>
            <w:tcW w:w="460" w:type="dxa"/>
            <w:vAlign w:val="bottom"/>
          </w:tcPr>
          <w:p>
            <w:pPr>
              <w:spacing w:after="0"/>
              <w:rPr>
                <w:sz w:val="24"/>
                <w:szCs w:val="24"/>
                <w:color w:val="auto"/>
              </w:rPr>
            </w:pPr>
          </w:p>
        </w:tc>
        <w:tc>
          <w:tcPr>
            <w:tcW w:w="4560" w:type="dxa"/>
            <w:vAlign w:val="bottom"/>
            <w:gridSpan w:val="18"/>
          </w:tcPr>
          <w:p>
            <w:pPr>
              <w:spacing w:after="0"/>
              <w:rPr>
                <w:rFonts w:ascii="Times New Roman" w:cs="Times New Roman" w:eastAsia="Times New Roman" w:hAnsi="Times New Roman"/>
                <w:sz w:val="16"/>
                <w:szCs w:val="16"/>
                <w:color w:val="0000FF"/>
              </w:rPr>
            </w:pPr>
            <w:hyperlink r:id="rId59">
              <w:r>
                <w:rPr>
                  <w:rFonts w:ascii="Times New Roman" w:cs="Times New Roman" w:eastAsia="Times New Roman" w:hAnsi="Times New Roman"/>
                  <w:sz w:val="16"/>
                  <w:szCs w:val="16"/>
                  <w:color w:val="0000FF"/>
                </w:rPr>
                <w:t>Esperion Therapeutics, Inc. 2022 Stock Option and Incentive Plan</w:t>
              </w:r>
            </w:hyperlink>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w w:val="98"/>
              </w:rPr>
              <w:t>S-8</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99.1</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26, 2022</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001-35986</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60" w:type="dxa"/>
            <w:vAlign w:val="bottom"/>
          </w:tcPr>
          <w:p>
            <w:pPr>
              <w:spacing w:after="0"/>
              <w:rPr>
                <w:sz w:val="12"/>
                <w:szCs w:val="12"/>
                <w:color w:val="auto"/>
              </w:rPr>
            </w:pPr>
          </w:p>
        </w:tc>
        <w:tc>
          <w:tcPr>
            <w:tcW w:w="4300" w:type="dxa"/>
            <w:vAlign w:val="bottom"/>
            <w:tcBorders>
              <w:top w:val="single" w:sz="8" w:color="0000FF"/>
            </w:tcBorders>
            <w:gridSpan w:val="14"/>
          </w:tcPr>
          <w:p>
            <w:pPr>
              <w:spacing w:after="0" w:line="142" w:lineRule="exact"/>
              <w:rPr>
                <w:rFonts w:ascii="Times New Roman" w:cs="Times New Roman" w:eastAsia="Times New Roman" w:hAnsi="Times New Roman"/>
                <w:sz w:val="16"/>
                <w:szCs w:val="16"/>
                <w:color w:val="0000FF"/>
              </w:rPr>
            </w:pPr>
            <w:hyperlink r:id="rId59">
              <w:r>
                <w:rPr>
                  <w:rFonts w:ascii="Times New Roman" w:cs="Times New Roman" w:eastAsia="Times New Roman" w:hAnsi="Times New Roman"/>
                  <w:sz w:val="16"/>
                  <w:szCs w:val="16"/>
                  <w:color w:val="0000FF"/>
                </w:rPr>
                <w:t>and forms of agreements thereunder</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20" w:type="dxa"/>
            <w:vAlign w:val="bottom"/>
            <w:gridSpan w:val="5"/>
          </w:tcPr>
          <w:p>
            <w:pPr>
              <w:jc w:val="center"/>
              <w:ind w:left="280"/>
              <w:spacing w:after="0"/>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1*</w:t>
            </w:r>
          </w:p>
        </w:tc>
        <w:tc>
          <w:tcPr>
            <w:tcW w:w="460" w:type="dxa"/>
            <w:vAlign w:val="bottom"/>
          </w:tcPr>
          <w:p>
            <w:pPr>
              <w:spacing w:after="0"/>
              <w:rPr>
                <w:sz w:val="24"/>
                <w:szCs w:val="24"/>
                <w:color w:val="auto"/>
              </w:rPr>
            </w:pPr>
          </w:p>
        </w:tc>
        <w:tc>
          <w:tcPr>
            <w:tcW w:w="456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Rule 13a-</w:t>
            </w: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60" w:type="dxa"/>
            <w:vAlign w:val="bottom"/>
          </w:tcPr>
          <w:p>
            <w:pPr>
              <w:spacing w:after="0"/>
              <w:rPr>
                <w:sz w:val="12"/>
                <w:szCs w:val="12"/>
                <w:color w:val="auto"/>
              </w:rPr>
            </w:pPr>
          </w:p>
        </w:tc>
        <w:tc>
          <w:tcPr>
            <w:tcW w:w="4260" w:type="dxa"/>
            <w:vAlign w:val="bottom"/>
            <w:tcBorders>
              <w:top w:val="single" w:sz="8" w:color="0000FF"/>
              <w:bottom w:val="single" w:sz="8" w:color="0000FF"/>
            </w:tcBorders>
            <w:gridSpan w:val="12"/>
          </w:tcPr>
          <w:p>
            <w:pPr>
              <w:spacing w:after="0" w:line="142" w:lineRule="exact"/>
              <w:rPr>
                <w:sz w:val="20"/>
                <w:szCs w:val="20"/>
                <w:color w:val="auto"/>
              </w:rPr>
            </w:pPr>
            <w:r>
              <w:rPr>
                <w:rFonts w:ascii="Times New Roman" w:cs="Times New Roman" w:eastAsia="Times New Roman" w:hAnsi="Times New Roman"/>
                <w:sz w:val="16"/>
                <w:szCs w:val="16"/>
                <w:color w:val="0000FF"/>
              </w:rPr>
              <w:t>14(a) and Rule 15d-14(a) of the Securities Exchange Act of 1934,</w:t>
            </w:r>
          </w:p>
        </w:tc>
        <w:tc>
          <w:tcPr>
            <w:tcW w:w="20" w:type="dxa"/>
            <w:vAlign w:val="bottom"/>
            <w:tcBorders>
              <w:bottom w:val="single" w:sz="8" w:color="0000FF"/>
            </w:tcBorders>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80" w:type="dxa"/>
            <w:vAlign w:val="bottom"/>
            <w:gridSpan w:val="13"/>
          </w:tcPr>
          <w:p>
            <w:pPr>
              <w:spacing w:after="0" w:line="142" w:lineRule="exact"/>
              <w:rPr>
                <w:sz w:val="20"/>
                <w:szCs w:val="20"/>
                <w:color w:val="auto"/>
              </w:rPr>
            </w:pPr>
            <w:r>
              <w:rPr>
                <w:rFonts w:ascii="Times New Roman" w:cs="Times New Roman" w:eastAsia="Times New Roman" w:hAnsi="Times New Roman"/>
                <w:sz w:val="16"/>
                <w:szCs w:val="16"/>
                <w:color w:val="0000FF"/>
              </w:rPr>
              <w:t>as adopted pursuant to Section 302 of the Sarbanes-Oxley Act of</w:t>
            </w: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w w:val="99"/>
              </w:rPr>
              <w:t>2002</w:t>
            </w:r>
          </w:p>
        </w:tc>
        <w:tc>
          <w:tcPr>
            <w:tcW w:w="166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5"/>
        </w:trPr>
        <w:tc>
          <w:tcPr>
            <w:tcW w:w="720" w:type="dxa"/>
            <w:vAlign w:val="bottom"/>
            <w:gridSpan w:val="5"/>
          </w:tcPr>
          <w:p>
            <w:pPr>
              <w:jc w:val="center"/>
              <w:ind w:left="280"/>
              <w:spacing w:after="0"/>
              <w:rPr>
                <w:sz w:val="20"/>
                <w:szCs w:val="20"/>
                <w:color w:val="auto"/>
              </w:rPr>
            </w:pPr>
            <w:r>
              <w:rPr>
                <w:rFonts w:ascii="Times New Roman" w:cs="Times New Roman" w:eastAsia="Times New Roman" w:hAnsi="Times New Roman"/>
                <w:sz w:val="16"/>
                <w:szCs w:val="16"/>
                <w:color w:val="0000FF"/>
                <w:w w:val="99"/>
              </w:rPr>
              <w:t>31.</w:t>
            </w:r>
            <w:r>
              <w:rPr>
                <w:rFonts w:ascii="Times New Roman" w:cs="Times New Roman" w:eastAsia="Times New Roman" w:hAnsi="Times New Roman"/>
                <w:sz w:val="16"/>
                <w:szCs w:val="16"/>
                <w:u w:val="single" w:color="auto"/>
                <w:color w:val="0000FF"/>
                <w:w w:val="99"/>
              </w:rPr>
              <w:t>2*</w:t>
            </w:r>
          </w:p>
        </w:tc>
        <w:tc>
          <w:tcPr>
            <w:tcW w:w="460" w:type="dxa"/>
            <w:vAlign w:val="bottom"/>
          </w:tcPr>
          <w:p>
            <w:pPr>
              <w:spacing w:after="0"/>
              <w:rPr>
                <w:sz w:val="24"/>
                <w:szCs w:val="24"/>
                <w:color w:val="auto"/>
              </w:rPr>
            </w:pPr>
          </w:p>
        </w:tc>
        <w:tc>
          <w:tcPr>
            <w:tcW w:w="456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Rule 13a-</w:t>
            </w: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60" w:type="dxa"/>
            <w:vAlign w:val="bottom"/>
          </w:tcPr>
          <w:p>
            <w:pPr>
              <w:spacing w:after="0"/>
              <w:rPr>
                <w:sz w:val="12"/>
                <w:szCs w:val="12"/>
                <w:color w:val="auto"/>
              </w:rPr>
            </w:pPr>
          </w:p>
        </w:tc>
        <w:tc>
          <w:tcPr>
            <w:tcW w:w="4220" w:type="dxa"/>
            <w:vAlign w:val="bottom"/>
            <w:tcBorders>
              <w:top w:val="single" w:sz="8" w:color="0000FF"/>
            </w:tcBorders>
            <w:gridSpan w:val="11"/>
          </w:tcPr>
          <w:p>
            <w:pPr>
              <w:spacing w:after="0" w:line="142" w:lineRule="exact"/>
              <w:rPr>
                <w:sz w:val="20"/>
                <w:szCs w:val="20"/>
                <w:color w:val="auto"/>
              </w:rPr>
            </w:pPr>
            <w:r>
              <w:rPr>
                <w:rFonts w:ascii="Times New Roman" w:cs="Times New Roman" w:eastAsia="Times New Roman" w:hAnsi="Times New Roman"/>
                <w:sz w:val="16"/>
                <w:szCs w:val="16"/>
                <w:color w:val="0000FF"/>
                <w:w w:val="99"/>
              </w:rPr>
              <w:t>14(a) and Rule 15d-14(a) of the Securities Exchange Act of 1934,</w:t>
            </w:r>
          </w:p>
        </w:tc>
        <w:tc>
          <w:tcPr>
            <w:tcW w:w="12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80" w:type="dxa"/>
            <w:vAlign w:val="bottom"/>
            <w:tcBorders>
              <w:top w:val="single" w:sz="8" w:color="0000FF"/>
            </w:tcBorders>
            <w:gridSpan w:val="13"/>
          </w:tcPr>
          <w:p>
            <w:pPr>
              <w:spacing w:after="0" w:line="142" w:lineRule="exact"/>
              <w:rPr>
                <w:sz w:val="20"/>
                <w:szCs w:val="20"/>
                <w:color w:val="auto"/>
              </w:rPr>
            </w:pPr>
            <w:r>
              <w:rPr>
                <w:rFonts w:ascii="Times New Roman" w:cs="Times New Roman" w:eastAsia="Times New Roman" w:hAnsi="Times New Roman"/>
                <w:sz w:val="16"/>
                <w:szCs w:val="16"/>
                <w:color w:val="0000FF"/>
              </w:rPr>
              <w:t>as adopted pursuant to Section 302 of the Sarbanes-Oxley Act of</w:t>
            </w: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w w:val="99"/>
              </w:rPr>
              <w:t>2002</w:t>
            </w:r>
          </w:p>
        </w:tc>
        <w:tc>
          <w:tcPr>
            <w:tcW w:w="166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118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color w:val="0000FF"/>
              </w:rPr>
              <w:t>32.</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7"/>
                <w:szCs w:val="17"/>
                <w:color w:val="0000FF"/>
              </w:rPr>
              <w:t>+</w:t>
            </w:r>
          </w:p>
        </w:tc>
        <w:tc>
          <w:tcPr>
            <w:tcW w:w="456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and Principal Financial</w:t>
            </w: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40" w:type="dxa"/>
            <w:vAlign w:val="bottom"/>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60" w:type="dxa"/>
            <w:vAlign w:val="bottom"/>
          </w:tcPr>
          <w:p>
            <w:pPr>
              <w:spacing w:after="0"/>
              <w:rPr>
                <w:sz w:val="10"/>
                <w:szCs w:val="10"/>
                <w:color w:val="auto"/>
              </w:rPr>
            </w:pPr>
          </w:p>
        </w:tc>
        <w:tc>
          <w:tcPr>
            <w:tcW w:w="4360" w:type="dxa"/>
            <w:vAlign w:val="bottom"/>
            <w:tcBorders>
              <w:top w:val="single" w:sz="8" w:color="0000FF"/>
            </w:tcBorders>
            <w:gridSpan w:val="17"/>
          </w:tcPr>
          <w:p>
            <w:pPr>
              <w:spacing w:after="0" w:line="122" w:lineRule="exact"/>
              <w:rPr>
                <w:sz w:val="20"/>
                <w:szCs w:val="20"/>
                <w:color w:val="auto"/>
              </w:rPr>
            </w:pPr>
            <w:r>
              <w:rPr>
                <w:rFonts w:ascii="Times New Roman" w:cs="Times New Roman" w:eastAsia="Times New Roman" w:hAnsi="Times New Roman"/>
                <w:sz w:val="14"/>
                <w:szCs w:val="14"/>
                <w:color w:val="0000FF"/>
              </w:rPr>
              <w:t>Officer pursuant to 18 U.S.C. Section 1350, as adopted pursuant to</w:t>
            </w: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80" w:type="dxa"/>
            <w:vAlign w:val="bottom"/>
            <w:tcBorders>
              <w:top w:val="single" w:sz="8" w:color="0000FF"/>
              <w:bottom w:val="single" w:sz="8" w:color="0000FF"/>
            </w:tcBorders>
            <w:gridSpan w:val="5"/>
          </w:tcPr>
          <w:p>
            <w:pPr>
              <w:spacing w:after="0" w:line="142" w:lineRule="exact"/>
              <w:rPr>
                <w:sz w:val="20"/>
                <w:szCs w:val="20"/>
                <w:color w:val="auto"/>
              </w:rPr>
            </w:pPr>
            <w:r>
              <w:rPr>
                <w:rFonts w:ascii="Times New Roman" w:cs="Times New Roman" w:eastAsia="Times New Roman" w:hAnsi="Times New Roman"/>
                <w:sz w:val="16"/>
                <w:szCs w:val="16"/>
                <w:color w:val="0000FF"/>
              </w:rPr>
              <w:t>Section 906 of the Sarbanes-Oxley Act of 2002</w:t>
            </w:r>
          </w:p>
        </w:tc>
        <w:tc>
          <w:tcPr>
            <w:tcW w:w="1260" w:type="dxa"/>
            <w:vAlign w:val="bottom"/>
            <w:tcBorders>
              <w:top w:val="single" w:sz="8" w:color="0000FF"/>
            </w:tcBorders>
            <w:gridSpan w:val="11"/>
          </w:tcPr>
          <w:p>
            <w:pPr>
              <w:spacing w:after="0"/>
              <w:rPr>
                <w:sz w:val="12"/>
                <w:szCs w:val="12"/>
                <w:color w:val="auto"/>
              </w:rPr>
            </w:pPr>
          </w:p>
        </w:tc>
        <w:tc>
          <w:tcPr>
            <w:tcW w:w="220" w:type="dxa"/>
            <w:vAlign w:val="bottom"/>
            <w:gridSpan w:val="2"/>
          </w:tcPr>
          <w:p>
            <w:pPr>
              <w:spacing w:after="0"/>
              <w:rPr>
                <w:sz w:val="12"/>
                <w:szCs w:val="12"/>
                <w:color w:val="auto"/>
              </w:rPr>
            </w:pPr>
          </w:p>
        </w:tc>
        <w:tc>
          <w:tcPr>
            <w:tcW w:w="1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9"/>
        </w:trPr>
        <w:tc>
          <w:tcPr>
            <w:tcW w:w="118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color w:val="auto"/>
              </w:rPr>
              <w:t>101.SCH*</w:t>
            </w:r>
          </w:p>
        </w:tc>
        <w:tc>
          <w:tcPr>
            <w:tcW w:w="4560" w:type="dxa"/>
            <w:vAlign w:val="bottom"/>
            <w:gridSpan w:val="18"/>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18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color w:val="auto"/>
                <w:w w:val="99"/>
              </w:rPr>
              <w:t>101.CAL*</w:t>
            </w:r>
          </w:p>
        </w:tc>
        <w:tc>
          <w:tcPr>
            <w:tcW w:w="4560" w:type="dxa"/>
            <w:vAlign w:val="bottom"/>
            <w:gridSpan w:val="18"/>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8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color w:val="auto"/>
                <w:w w:val="99"/>
              </w:rPr>
              <w:t>101.LAB*</w:t>
            </w:r>
          </w:p>
        </w:tc>
        <w:tc>
          <w:tcPr>
            <w:tcW w:w="4560" w:type="dxa"/>
            <w:vAlign w:val="bottom"/>
            <w:gridSpan w:val="18"/>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18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color w:val="auto"/>
              </w:rPr>
              <w:t>101.PRE*</w:t>
            </w:r>
          </w:p>
        </w:tc>
        <w:tc>
          <w:tcPr>
            <w:tcW w:w="4560" w:type="dxa"/>
            <w:vAlign w:val="bottom"/>
            <w:gridSpan w:val="18"/>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18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color w:val="auto"/>
                <w:w w:val="99"/>
              </w:rPr>
              <w:t>101.DEF*</w:t>
            </w:r>
          </w:p>
        </w:tc>
        <w:tc>
          <w:tcPr>
            <w:tcW w:w="4560" w:type="dxa"/>
            <w:vAlign w:val="bottom"/>
            <w:gridSpan w:val="18"/>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20" w:type="dxa"/>
            <w:vAlign w:val="bottom"/>
            <w:gridSpan w:val="5"/>
          </w:tcPr>
          <w:p>
            <w:pPr>
              <w:jc w:val="center"/>
              <w:ind w:left="280"/>
              <w:spacing w:after="0"/>
              <w:rPr>
                <w:sz w:val="20"/>
                <w:szCs w:val="20"/>
                <w:color w:val="auto"/>
              </w:rPr>
            </w:pPr>
            <w:r>
              <w:rPr>
                <w:rFonts w:ascii="Times New Roman" w:cs="Times New Roman" w:eastAsia="Times New Roman" w:hAnsi="Times New Roman"/>
                <w:sz w:val="16"/>
                <w:szCs w:val="16"/>
                <w:color w:val="auto"/>
                <w:w w:val="99"/>
              </w:rPr>
              <w:t>104*</w:t>
            </w:r>
          </w:p>
        </w:tc>
        <w:tc>
          <w:tcPr>
            <w:tcW w:w="460" w:type="dxa"/>
            <w:vAlign w:val="bottom"/>
          </w:tcPr>
          <w:p>
            <w:pPr>
              <w:spacing w:after="0"/>
              <w:rPr>
                <w:sz w:val="24"/>
                <w:szCs w:val="24"/>
                <w:color w:val="auto"/>
              </w:rPr>
            </w:pPr>
          </w:p>
        </w:tc>
        <w:tc>
          <w:tcPr>
            <w:tcW w:w="9760" w:type="dxa"/>
            <w:vAlign w:val="bottom"/>
            <w:gridSpan w:val="22"/>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with applicable taxonomy extension information contained in Exhibits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36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21" w:right="6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0" w:hanging="149"/>
        <w:spacing w:after="0"/>
        <w:tabs>
          <w:tab w:leader="none" w:pos="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7" w:lineRule="exact"/>
        <w:rPr>
          <w:rFonts w:ascii="Times New Roman" w:cs="Times New Roman" w:eastAsia="Times New Roman" w:hAnsi="Times New Roman"/>
          <w:sz w:val="18"/>
          <w:szCs w:val="18"/>
          <w:color w:val="auto"/>
        </w:rPr>
      </w:pPr>
    </w:p>
    <w:p>
      <w:pPr>
        <w:ind w:left="900" w:hanging="325"/>
        <w:spacing w:after="0" w:line="255" w:lineRule="auto"/>
        <w:tabs>
          <w:tab w:leader="none" w:pos="8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furnished in Exhibit 32.1 hereto is deemed to be furnished with this Quarterly Report on Form 10-Q and will not be deemed to be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790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ESPERION THERAPEUTICS, INC.</w:t>
            </w:r>
          </w:p>
        </w:tc>
      </w:tr>
      <w:tr>
        <w:trPr>
          <w:trHeight w:val="769"/>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August 2, 2022</w:t>
            </w:r>
          </w:p>
        </w:tc>
        <w:tc>
          <w:tcPr>
            <w:tcW w:w="790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By:   /s/ Sheldon L. Koenig</w:t>
            </w:r>
          </w:p>
        </w:tc>
      </w:tr>
      <w:tr>
        <w:trPr>
          <w:trHeight w:val="216"/>
        </w:trPr>
        <w:tc>
          <w:tcPr>
            <w:tcW w:w="33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Sheldon L. Koenig</w:t>
            </w:r>
          </w:p>
        </w:tc>
      </w:tr>
      <w:tr>
        <w:trPr>
          <w:trHeight w:val="230"/>
        </w:trPr>
        <w:tc>
          <w:tcPr>
            <w:tcW w:w="33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182"/>
        </w:trPr>
        <w:tc>
          <w:tcPr>
            <w:tcW w:w="330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524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(Principal Executive Officer, Principal Financial Officer and Principal</w:t>
            </w:r>
          </w:p>
        </w:tc>
      </w:tr>
      <w:tr>
        <w:trPr>
          <w:trHeight w:val="236"/>
        </w:trPr>
        <w:tc>
          <w:tcPr>
            <w:tcW w:w="33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20"/>
          </w:cols>
          <w:pgMar w:left="320" w:top="121" w:right="35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Sheldon L. Koenig, certify that:</w:t>
      </w:r>
    </w:p>
    <w:p>
      <w:pPr>
        <w:spacing w:after="0" w:line="225" w:lineRule="exact"/>
        <w:rPr>
          <w:sz w:val="20"/>
          <w:szCs w:val="20"/>
          <w:color w:val="auto"/>
        </w:rPr>
      </w:pPr>
    </w:p>
    <w:p>
      <w:pPr>
        <w:ind w:left="500" w:hanging="492"/>
        <w:spacing w:after="0"/>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June 30, 2022, of Esperion Therapeutics, Inc.;</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80" w:hanging="492"/>
        <w:spacing w:after="0" w:line="282"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7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7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40" w:hanging="486"/>
        <w:spacing w:after="0" w:line="266"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7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486"/>
        <w:spacing w:after="0" w:line="282"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 2022</w:t>
            </w:r>
          </w:p>
        </w:tc>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Sheldon L. Koenig</w:t>
            </w:r>
          </w:p>
        </w:tc>
      </w:tr>
      <w:tr>
        <w:trPr>
          <w:trHeight w:val="216"/>
        </w:trPr>
        <w:tc>
          <w:tcPr>
            <w:tcW w:w="5880" w:type="dxa"/>
            <w:vAlign w:val="bottom"/>
          </w:tcPr>
          <w:p>
            <w:pPr>
              <w:spacing w:after="0"/>
              <w:rPr>
                <w:sz w:val="18"/>
                <w:szCs w:val="18"/>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Sheldon L. Koenig</w:t>
            </w:r>
          </w:p>
        </w:tc>
      </w:tr>
      <w:tr>
        <w:trPr>
          <w:trHeight w:val="229"/>
        </w:trPr>
        <w:tc>
          <w:tcPr>
            <w:tcW w:w="5880" w:type="dxa"/>
            <w:vAlign w:val="bottom"/>
          </w:tcPr>
          <w:p>
            <w:pPr>
              <w:spacing w:after="0"/>
              <w:rPr>
                <w:sz w:val="19"/>
                <w:szCs w:val="19"/>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182"/>
        </w:trPr>
        <w:tc>
          <w:tcPr>
            <w:tcW w:w="5880" w:type="dxa"/>
            <w:vAlign w:val="bottom"/>
          </w:tcPr>
          <w:p>
            <w:pPr>
              <w:spacing w:after="0"/>
              <w:rPr>
                <w:sz w:val="15"/>
                <w:szCs w:val="15"/>
                <w:color w:val="auto"/>
              </w:rPr>
            </w:pPr>
          </w:p>
        </w:tc>
        <w:tc>
          <w:tcPr>
            <w:tcW w:w="53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(Principal Executive Officer, Principal Financial Officer and Principal</w:t>
            </w:r>
          </w:p>
        </w:tc>
      </w:tr>
      <w:tr>
        <w:trPr>
          <w:trHeight w:val="236"/>
        </w:trPr>
        <w:tc>
          <w:tcPr>
            <w:tcW w:w="588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Accounting Officer)</w:t>
            </w:r>
          </w:p>
        </w:tc>
      </w:tr>
    </w:tbl>
    <w:p>
      <w:pPr>
        <w:sectPr>
          <w:pgSz w:w="11900" w:h="16838" w:orient="portrait"/>
          <w:cols w:equalWidth="0" w:num="1">
            <w:col w:w="11240"/>
          </w:cols>
          <w:pgMar w:left="320" w:top="88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Sheldon L. Koenig, certify that:</w:t>
      </w:r>
    </w:p>
    <w:p>
      <w:pPr>
        <w:spacing w:after="0" w:line="225" w:lineRule="exact"/>
        <w:rPr>
          <w:sz w:val="20"/>
          <w:szCs w:val="20"/>
          <w:color w:val="auto"/>
        </w:rPr>
      </w:pPr>
    </w:p>
    <w:p>
      <w:pPr>
        <w:ind w:left="500" w:hanging="492"/>
        <w:spacing w:after="0"/>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June 30, 2022, of Esperion Therapeutics, Inc.;</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80" w:hanging="492"/>
        <w:spacing w:after="0" w:line="282"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7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7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40" w:hanging="486"/>
        <w:spacing w:after="0" w:line="266"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7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486"/>
        <w:spacing w:after="0" w:line="282"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 2022</w:t>
            </w:r>
          </w:p>
        </w:tc>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Sheldon L. Koenig</w:t>
            </w:r>
          </w:p>
        </w:tc>
      </w:tr>
      <w:tr>
        <w:trPr>
          <w:trHeight w:val="216"/>
        </w:trPr>
        <w:tc>
          <w:tcPr>
            <w:tcW w:w="5180" w:type="dxa"/>
            <w:vAlign w:val="bottom"/>
          </w:tcPr>
          <w:p>
            <w:pPr>
              <w:spacing w:after="0"/>
              <w:rPr>
                <w:sz w:val="18"/>
                <w:szCs w:val="18"/>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Sheldon L. Koenig</w:t>
            </w:r>
          </w:p>
        </w:tc>
      </w:tr>
      <w:tr>
        <w:trPr>
          <w:trHeight w:val="229"/>
        </w:trPr>
        <w:tc>
          <w:tcPr>
            <w:tcW w:w="5180" w:type="dxa"/>
            <w:vAlign w:val="bottom"/>
          </w:tcPr>
          <w:p>
            <w:pPr>
              <w:spacing w:after="0"/>
              <w:rPr>
                <w:sz w:val="19"/>
                <w:szCs w:val="19"/>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182"/>
        </w:trPr>
        <w:tc>
          <w:tcPr>
            <w:tcW w:w="5180" w:type="dxa"/>
            <w:vAlign w:val="bottom"/>
          </w:tcPr>
          <w:p>
            <w:pPr>
              <w:spacing w:after="0"/>
              <w:rPr>
                <w:sz w:val="15"/>
                <w:szCs w:val="15"/>
                <w:color w:val="auto"/>
              </w:rPr>
            </w:pPr>
          </w:p>
        </w:tc>
        <w:tc>
          <w:tcPr>
            <w:tcW w:w="60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(Principal Executive Officer, Principal Financial Officer and Principal</w:t>
            </w:r>
          </w:p>
        </w:tc>
      </w:tr>
      <w:tr>
        <w:trPr>
          <w:trHeight w:val="236"/>
        </w:trPr>
        <w:tc>
          <w:tcPr>
            <w:tcW w:w="518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Accounting Officer)</w:t>
            </w:r>
          </w:p>
        </w:tc>
      </w:tr>
    </w:tbl>
    <w:p>
      <w:pPr>
        <w:sectPr>
          <w:pgSz w:w="11900" w:h="16838" w:orient="portrait"/>
          <w:cols w:equalWidth="0" w:num="1">
            <w:col w:w="11240"/>
          </w:cols>
          <w:pgMar w:left="320" w:top="88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Esperion Therapeutics, Inc. (the “Company”) for the period ended June 30, 2022, as filed with the Securities and Exchange Commission on the date hereof (the “Report”), each of the undersigned officers of Esperion Therapeutics, Inc., hereby certify, pursuant to Section 906 of the Sarbanes-Oxley Act of 2002, 18 U.S.C. Section 1350, that, to my knowledge as of the date hereof:</w:t>
      </w:r>
    </w:p>
    <w:p>
      <w:pPr>
        <w:spacing w:after="0" w:line="176" w:lineRule="exact"/>
        <w:rPr>
          <w:sz w:val="20"/>
          <w:szCs w:val="20"/>
          <w:color w:val="auto"/>
        </w:rPr>
      </w:pPr>
    </w:p>
    <w:p>
      <w:pPr>
        <w:ind w:left="660" w:right="340" w:hanging="652"/>
        <w:spacing w:after="0" w:line="282" w:lineRule="auto"/>
        <w:tabs>
          <w:tab w:leader="none" w:pos="6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which this statement accompanies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 2022</w:t>
            </w:r>
          </w:p>
        </w:tc>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Sheldon L. Koenig</w:t>
            </w:r>
          </w:p>
        </w:tc>
      </w:tr>
      <w:tr>
        <w:trPr>
          <w:trHeight w:val="216"/>
        </w:trPr>
        <w:tc>
          <w:tcPr>
            <w:tcW w:w="5260" w:type="dxa"/>
            <w:vAlign w:val="bottom"/>
          </w:tcPr>
          <w:p>
            <w:pPr>
              <w:spacing w:after="0"/>
              <w:rPr>
                <w:sz w:val="18"/>
                <w:szCs w:val="18"/>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Sheldon L. Koenig</w:t>
            </w:r>
          </w:p>
        </w:tc>
      </w:tr>
      <w:tr>
        <w:trPr>
          <w:trHeight w:val="230"/>
        </w:trPr>
        <w:tc>
          <w:tcPr>
            <w:tcW w:w="5260" w:type="dxa"/>
            <w:vAlign w:val="bottom"/>
          </w:tcPr>
          <w:p>
            <w:pPr>
              <w:spacing w:after="0"/>
              <w:rPr>
                <w:sz w:val="19"/>
                <w:szCs w:val="19"/>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182"/>
        </w:trPr>
        <w:tc>
          <w:tcPr>
            <w:tcW w:w="5260" w:type="dxa"/>
            <w:vAlign w:val="bottom"/>
          </w:tcPr>
          <w:p>
            <w:pPr>
              <w:spacing w:after="0"/>
              <w:rPr>
                <w:sz w:val="15"/>
                <w:szCs w:val="15"/>
                <w:color w:val="auto"/>
              </w:rPr>
            </w:pPr>
          </w:p>
        </w:tc>
        <w:tc>
          <w:tcPr>
            <w:tcW w:w="59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(Principal Executive Officer, Principal Financial Officer and Principal</w:t>
            </w:r>
          </w:p>
        </w:tc>
      </w:tr>
      <w:tr>
        <w:trPr>
          <w:trHeight w:val="236"/>
        </w:trPr>
        <w:tc>
          <w:tcPr>
            <w:tcW w:w="526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Accounting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2"/>
    </w:lvl>
  </w:abstractNum>
  <w:abstractNum w:abstractNumId="3">
    <w:nsid w:val="4DB127F8"/>
    <w:multiLevelType w:val="hybridMultilevel"/>
    <w:lvl w:ilvl="0">
      <w:lvlJc w:val="left"/>
      <w:lvlText w:val="%1."/>
      <w:numFmt w:val="lowerLetter"/>
      <w:start w:val="1"/>
    </w:lvl>
  </w:abstractNum>
  <w:abstractNum w:abstractNumId="4">
    <w:nsid w:val="216231B"/>
    <w:multiLevelType w:val="hybridMultilevel"/>
    <w:lvl w:ilvl="0">
      <w:lvlJc w:val="left"/>
      <w:lvlText w:val="%1."/>
      <w:numFmt w:val="decimal"/>
      <w:start w:val="3"/>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lvl w:ilvl="1">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lvl w:ilvl="1">
      <w:lvlJc w:val="left"/>
      <w:lvlText w:val="+"/>
      <w:numFmt w:val="bullet"/>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54" Type="http://schemas.openxmlformats.org/officeDocument/2006/relationships/hyperlink" Target="https://www.sec.gov/Archives/edgar/data/0001434868/000162828022015488/exhibit31.htm" TargetMode="External"/><Relationship Id="rId55" Type="http://schemas.openxmlformats.org/officeDocument/2006/relationships/hyperlink" Target="https://www.sec.gov/Archives/edgar/data/0001434868/000162828022016957/a101koenigemploymentagreem.htm" TargetMode="External"/><Relationship Id="rId56" Type="http://schemas.openxmlformats.org/officeDocument/2006/relationships/hyperlink" Target="https://www.sec.gov/Archives/edgar/data/0001434868/000162828022016957/a102foodyemploymentagreeme.htm" TargetMode="External"/><Relationship Id="rId57" Type="http://schemas.openxmlformats.org/officeDocument/2006/relationships/hyperlink" Target="https://www.sec.gov/Archives/edgar/data/0001434868/000162828022016957/a103warrenemploymentagreem.htm" TargetMode="External"/><Relationship Id="rId58" Type="http://schemas.openxmlformats.org/officeDocument/2006/relationships/hyperlink" Target="https://www.sec.gov/Archives/edgar/data/0001434868/000162828022016957/a104lookeremploymentagreem.htm" TargetMode="External"/><Relationship Id="rId59" Type="http://schemas.openxmlformats.org/officeDocument/2006/relationships/hyperlink" Target="https://www.sec.gov/Archives/edgar/data/0001434868/000162828022015495/exhibit991520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2022-08-02T07:54:06Z</dcterms:created>
  <dcterms:modified xsi:type="dcterms:W3CDTF">2022-08-02T07:54:06Z</dcterms:modified>
</cp:coreProperties>
</file>