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240"/>
        <w:spacing w:after="0" w:line="25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10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x</w:t>
      </w:r>
    </w:p>
    <w:p>
      <w:pPr>
        <w:spacing w:after="0" w:line="8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988" w:right="339" w:bottom="1440" w:gutter="0" w:footer="0" w:header="0"/>
          <w:type w:val="continuous"/>
        </w:sectPr>
      </w:pPr>
    </w:p>
    <w:p>
      <w:pPr>
        <w:spacing w:after="0" w:line="113"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288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April 30, 2026, there were 257,431,942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398780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gridSpan w:val="10"/>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10"/>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00" w:type="dxa"/>
            <w:vAlign w:val="bottom"/>
            <w:gridSpan w:val="3"/>
          </w:tcPr>
          <w:p>
            <w:pPr>
              <w:spacing w:after="0"/>
              <w:rPr>
                <w:sz w:val="24"/>
                <w:szCs w:val="24"/>
                <w:color w:val="auto"/>
              </w:rPr>
            </w:pPr>
          </w:p>
        </w:tc>
        <w:tc>
          <w:tcPr>
            <w:tcW w:w="3240" w:type="dxa"/>
            <w:vAlign w:val="bottom"/>
            <w:tcBorders>
              <w:top w:val="single" w:sz="8" w:color="0000FF"/>
            </w:tcBorders>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Balance Sheets at March 31, 2026 and December 31, 2025</w:t>
            </w:r>
          </w:p>
        </w:tc>
        <w:tc>
          <w:tcPr>
            <w:tcW w:w="4360" w:type="dxa"/>
            <w:vAlign w:val="bottom"/>
            <w:gridSpan w:val="7"/>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 and Comprehensive Loss for the three month periods ended March 31, 2026 and 2025</w:t>
            </w:r>
          </w:p>
        </w:tc>
        <w:tc>
          <w:tcPr>
            <w:tcW w:w="5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month periods ended March 31, 2026 and 2025</w:t>
            </w:r>
          </w:p>
        </w:tc>
        <w:tc>
          <w:tcPr>
            <w:tcW w:w="5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 periods ended March 31, 2026 and 2025</w:t>
            </w:r>
          </w:p>
        </w:tc>
        <w:tc>
          <w:tcPr>
            <w:tcW w:w="164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34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2"/>
          </w:tcPr>
          <w:p>
            <w:pPr>
              <w:spacing w:after="0"/>
              <w:rPr>
                <w:sz w:val="24"/>
                <w:szCs w:val="24"/>
                <w:color w:val="auto"/>
              </w:rPr>
            </w:pPr>
          </w:p>
        </w:tc>
        <w:tc>
          <w:tcPr>
            <w:tcW w:w="30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2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5.</w:t>
            </w:r>
          </w:p>
        </w:tc>
        <w:tc>
          <w:tcPr>
            <w:tcW w:w="95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8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92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0" w:type="dxa"/>
            <w:vAlign w:val="bottom"/>
          </w:tcPr>
          <w:p>
            <w:pPr>
              <w:spacing w:after="0"/>
              <w:rPr>
                <w:sz w:val="24"/>
                <w:szCs w:val="24"/>
                <w:color w:val="auto"/>
              </w:rPr>
            </w:pPr>
          </w:p>
        </w:tc>
        <w:tc>
          <w:tcPr>
            <w:tcW w:w="8920" w:type="dxa"/>
            <w:vAlign w:val="bottom"/>
            <w:gridSpan w:val="1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spacing w:after="0" w:line="18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inventory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462,570</w:t>
            </w:r>
          </w:p>
        </w:tc>
      </w:t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3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465,886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sale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87,596</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34,477</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300,810</w:t>
            </w: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sale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152,219</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767,851</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$0.001 par value; 480,000,000 shares authorized as of March 31, 2026 and December 31, 2025;</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259,399,074 shares issued at March 31, 2026 and 247,210,341 shares issued at December 31, 2025</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March 31, 2026 and December 31, 2025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(1,623,711)</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(301,965)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465,886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960" w:type="dxa"/>
        <w:tblCellMar>
          <w:top w:w="0" w:type="dxa"/>
          <w:left w:w="0" w:type="dxa"/>
          <w:bottom w:w="0" w:type="dxa"/>
          <w:right w:w="0" w:type="dxa"/>
        </w:tblCellMar>
      </w:tblPr>
      <w:tr>
        <w:trPr>
          <w:trHeight w:val="200"/>
        </w:trPr>
        <w:tc>
          <w:tcPr>
            <w:tcW w:w="43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64,995</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31,538</w:t>
            </w: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87,091</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0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251,353,086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196,127,948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195,852,463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196,660,371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1,270,074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(1,641,484)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(426,211)</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4"/>
                <w:szCs w:val="24"/>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6"/>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245,216,143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(301,965)</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257,404,876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768"/>
        </w:trPr>
        <w:tc>
          <w:tcPr>
            <w:tcW w:w="5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4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Esperion Therapeutics, Inc.</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40" w:type="dxa"/>
            <w:vAlign w:val="bottom"/>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40" w:type="dxa"/>
            <w:vAlign w:val="bottom"/>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(40,455)</w:t>
            </w: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royalty revenue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royalty sale liability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r>
      <w:tr>
        <w:trPr>
          <w:trHeight w:val="229"/>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540" w:type="dxa"/>
            <w:vAlign w:val="bottom"/>
          </w:tcPr>
          <w:p>
            <w:pPr>
              <w:spacing w:after="0"/>
              <w:rPr>
                <w:sz w:val="19"/>
                <w:szCs w:val="19"/>
                <w:color w:val="auto"/>
              </w:rPr>
            </w:pPr>
          </w:p>
        </w:tc>
        <w:tc>
          <w:tcPr>
            <w:tcW w:w="7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(22,628)</w:t>
            </w:r>
          </w:p>
        </w:tc>
      </w:tr>
      <w:tr>
        <w:trPr>
          <w:trHeight w:val="216"/>
        </w:trPr>
        <w:tc>
          <w:tcPr>
            <w:tcW w:w="540" w:type="dxa"/>
            <w:vAlign w:val="bottom"/>
          </w:tcPr>
          <w:p>
            <w:pPr>
              <w:spacing w:after="0"/>
              <w:rPr>
                <w:sz w:val="18"/>
                <w:szCs w:val="18"/>
                <w:color w:val="auto"/>
              </w:rPr>
            </w:pPr>
          </w:p>
        </w:tc>
        <w:tc>
          <w:tcPr>
            <w:tcW w:w="7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 w:type="dxa"/>
            <w:vAlign w:val="bottom"/>
          </w:tcPr>
          <w:p>
            <w:pPr>
              <w:spacing w:after="0"/>
              <w:rPr>
                <w:sz w:val="18"/>
                <w:szCs w:val="18"/>
                <w:color w:val="auto"/>
              </w:rPr>
            </w:pPr>
          </w:p>
        </w:tc>
        <w:tc>
          <w:tcPr>
            <w:tcW w:w="7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 net of issuance costs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540" w:type="dxa"/>
            <w:vAlign w:val="bottom"/>
          </w:tcPr>
          <w:p>
            <w:pPr>
              <w:spacing w:after="0"/>
              <w:rPr>
                <w:sz w:val="19"/>
                <w:szCs w:val="19"/>
                <w:color w:val="auto"/>
              </w:rPr>
            </w:pPr>
          </w:p>
        </w:tc>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40" w:type="dxa"/>
            <w:vAlign w:val="bottom"/>
          </w:tcPr>
          <w:p>
            <w:pPr>
              <w:spacing w:after="0"/>
              <w:rPr>
                <w:sz w:val="18"/>
                <w:szCs w:val="18"/>
                <w:color w:val="auto"/>
              </w:rPr>
            </w:pPr>
          </w:p>
        </w:tc>
        <w:tc>
          <w:tcPr>
            <w:tcW w:w="7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(30,128)</w:t>
            </w:r>
          </w:p>
        </w:tc>
      </w:tr>
      <w:tr>
        <w:trPr>
          <w:trHeight w:val="230"/>
        </w:trPr>
        <w:tc>
          <w:tcPr>
            <w:tcW w:w="540" w:type="dxa"/>
            <w:vAlign w:val="bottom"/>
          </w:tcPr>
          <w:p>
            <w:pPr>
              <w:spacing w:after="0"/>
              <w:rPr>
                <w:sz w:val="19"/>
                <w:szCs w:val="19"/>
                <w:color w:val="auto"/>
              </w:rPr>
            </w:pPr>
          </w:p>
        </w:tc>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144,761</w:t>
            </w:r>
          </w:p>
        </w:tc>
      </w:tr>
      <w:tr>
        <w:trPr>
          <w:trHeight w:val="248"/>
        </w:trPr>
        <w:tc>
          <w:tcPr>
            <w:tcW w:w="540" w:type="dxa"/>
            <w:vAlign w:val="bottom"/>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114,633</w:t>
            </w:r>
          </w:p>
        </w:tc>
      </w:tr>
      <w:tr>
        <w:trPr>
          <w:trHeight w:val="20"/>
        </w:trPr>
        <w:tc>
          <w:tcPr>
            <w:tcW w:w="540" w:type="dxa"/>
            <w:vAlign w:val="bottom"/>
          </w:tcPr>
          <w:p>
            <w:pPr>
              <w:spacing w:after="0" w:line="20" w:lineRule="exact"/>
              <w:rPr>
                <w:sz w:val="1"/>
                <w:szCs w:val="1"/>
                <w:color w:val="auto"/>
              </w:rPr>
            </w:pPr>
          </w:p>
        </w:tc>
        <w:tc>
          <w:tcPr>
            <w:tcW w:w="71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54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540" w:type="dxa"/>
            <w:vAlign w:val="bottom"/>
          </w:tcPr>
          <w:p>
            <w:pPr>
              <w:spacing w:after="0"/>
              <w:rPr>
                <w:sz w:val="20"/>
                <w:szCs w:val="20"/>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right of use asset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6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08"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("CVD") and are struggling with elevated low density lipoprotein cholesterol ("LDL-C"). Through commercial execution, product acquisitions, international partnerships and collaborations, and advancement of its pre-clinical pipeline, the Company continues to evolve into a leading global biopharmaceutical company.</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lead products, NEXLETOL® (bempedoic acid) tablets and NEXLIZET® (bempedoic acid and ezetimibe) tablets, are oral, once-daily, non-statin medicines indicated to reduce the risk of myocardial infarction and coronary revascularization in adults who are unable or unwilling to take recommended statin therapy (including those not taking a statin) with established CVD, or at high risk for a CVD event but without established CVD, and to reduce LDL-C in adults with primary hyperlipidemia. The Company's products were approved by the FDA, the European Commission ("EC") (which, with respect to the UK, has been converted to a UK marketing authorization) and Swiss Agency for Therapeutic Products ("Swissmedic") in 2020. The FDA approved expanded indications for NEXLETOL and NEXLIZET tablets in March 2024. The EC approved expanded indications for NILEMDO® (bempedoic acid) tablets and NUSTENDI® (bempedoic acid and ezetimibe) tablets in May 2024. Otsuka Pharmaceutical Co., Ltd ("Otsuka"), Esperion’s Japanese collaborator, received approval from the Japanese Ministry of Health, Labour and Welfare to market NEXLETOL as a treatment for hypercholesterolemia and familial hypercholesterolemia in September 2025, with National Health Insurance ("NHI") pricing received in the fourth quarter of 2025. The Company filed supplemental NDAs for product approvals in Canada in November 2024, with NEXLETOL approval received in the fourth quarter of 2025 and NEXLIZET approval expected in the first half of 2026. The Company's collaboration partners filed in Israel in March 2025, with expected approval in the first half of 2026, and in Australia in July 2025, with expected approval in the fourth quarter of 2026.</w:t>
      </w:r>
    </w:p>
    <w:p>
      <w:pPr>
        <w:spacing w:after="0" w:line="21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On March 2, 2026, the Company entered into an Agreement and Plan of Merger (the “Corstasis Merger Agreement”) with Corstasis Therapeutics Inc., a Delaware corporation (“Corstasis”), Cirrus Transaction Subsidiary, Inc., a Delaware corporation and wholly owned subsidiary of the Company (“Merger Sub”) and certain other parties described therein. Pursuant to the Corstasis Merger Agreement, on April 2, 2026, the Company completed the merger of Corstasis with and into Merger Sub, with Corstasis surviving the merger as a wholly owned subsidiary of the Company (the “Corstasis Merger”). The aggregate up-front consideration for the transactions contemplated by the Corstasis Merger Agreement (the “Transactions”) was $75,000,000 in cash, subject to customary adjustments and a post-closing purchase price adjustment. In addition to the upfront cash consideration, the former equityholders of Corstasis are entitled to receive: (i) milestone payments up to an aggregate amount equal to $180,000,000 if certain regulatory approval or commercial sales milestones are achieved and (ii) royalty and licensing-revenue-derived payments in connection with the Company’s (or its sublicensees’) future sales of certain products. Corstasis, the developer and commercial sponsor of Enbumyst, was a privately held, commercial-stage biopharmaceutical company focused on therapies for the treatment of edema associated with cardiovascular, hepatic, and renal disease. Through the acquisition of Corstasis, the Company expanded its cardiovascular portfolio with Enbumyst (bumetanide nasal spray), the first and only FDA-approved nasal spray loop diuretic. Enbumyst received FDA approval in September 2025 for the treatment of edema associated with congestive heart failure, as well as hepatic and renal disease in adults. Refer to Note 16, "Subsequent Events" for further information.</w:t>
      </w:r>
    </w:p>
    <w:p>
      <w:pPr>
        <w:spacing w:after="0" w:line="2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On May 1, 2026, the Company entered into an Agreement and Plan of Merger (the “Merger Agreement”) with Essence Parent Inc., a Delaware corporation (“Parent”), and Essence MergerCo Inc., a Delaware corporation and a wholly owned subsidiary of Parent (“MergerCo”), pursuant to which, subject to the terms and conditions thereof, MergerCo will merge with and into the Company, with the Company continuing as the surviving corporation and a wholly owned subsidiary of Parent (the “Merger”). Subject to the terms and conditions set forth in the Merger Agreement, at the effective time of the Merger (the “Effective Time”), each share of common stock, par value $0.001 per share, of the Company (the “Company Common Stock”) issued and outstanding immediately prior to the Effective Time (other than shares of Company Common Stock (i) owned by Parent or MergerCo, (ii) owned by the Company as treasury shares or (iii) held by any person who properly exercises appraisal rights under Delaware law), will be converted into the right to receive (A) an amount in cash equal to $3.16 per share, without interest (the “Per Share Cash Consideration”), plus (B) one contractual contingent value right per share, representing the right to participate in contingent payments in cash, without interest, upon the achievement of certain milestones as set forth in the Contingent Value Rights Agreement (the “CVR Agreement”), on the terms and subject to the conditions set forth in the Merger Agreement and the CVR Agreement (the “CVR” and, together with the Per Share Cash Consideration, the “Merger Consideration”). Each CVR will entitle the holder to its pro rata share, in cash, of contingent payments of up to an additional $100,000,000 in the aggregate, without interest and less any applicable tax withholding, upon the achievement of specified milestones during the applicable milestone periods as set forth in the CVR Agreement. Consummation of the Merger is subject to the approval of the Company’s stockholders and other customary closing conditions. The Merger has not closed as of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date these condensed interim financial statements were issued and is expected to close in the third quarter of 2026. Accordingly, the accompanying condensed interim financial statements do not reflect the Merger or any related effects. Refer to Note 16, "Subsequent Events" for further information.</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and successfully manage its management, commercial and scientific staff; and finance its operations with an ultimate goal of achieving profitable operations.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immediate future. While management believes current cash resources and future cash received from the Company's net product sales and collaboration agreements with Daiichi Sankyo Europe GmbH ("DSE"), Otsuka, and Daiichi Sankyo Co. Ltd ("DS"), and other partners,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2025, and the notes thereto, which are included in the Company’s Annual Report on Form 10-K for the year ended December 31, 2025. The results of operations for the interim periods are not necessarily indicative of the results to be expected for a full year, any other interim periods or any future year or period.</w:t>
      </w:r>
    </w:p>
    <w:p>
      <w:pPr>
        <w:spacing w:after="0" w:line="188" w:lineRule="exact"/>
        <w:rPr>
          <w:sz w:val="20"/>
          <w:szCs w:val="20"/>
          <w:color w:val="auto"/>
        </w:rPr>
      </w:pPr>
    </w:p>
    <w:p>
      <w:pPr>
        <w:ind w:right="76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6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in the United States requires management to make estimates and assumptions that affect the reported amounts of assets, liabilities, net revenues, expenses and related disclosures.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which is the business of researching, developing and commercializing therapies for the treatment of patients with elevated LDL-C.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for NEXLETOL and NEXLIZET. The Company's net product sales are with these customers. As of March 31, 2026 and December 31, 2025, nine customers accounted for all of the Company's net trade receivables. As of March 31, 2026 and December 31, 2025, three customers held approximately 99% and 98%, respectively, of the Company's trade receivables associated with net product sales. For the three months ended March 31, 2026 and 2025, three customers accounted for approximately 97% and 99%, respectively, of gross sales of NEXLETOL and NEXLIZET.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 in the United States.</w:t>
      </w:r>
    </w:p>
    <w:p>
      <w:pPr>
        <w:spacing w:after="0" w:line="19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finished goods or bulk tablets reasonably required by collaboration partners for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w:t>
      </w:r>
    </w:p>
    <w:p>
      <w:pPr>
        <w:spacing w:after="0" w:line="16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w:t>
      </w:r>
    </w:p>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1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Product sales, net totaled $43.4 million for the three months ended March 31, 2026 and $34.9 million for the three months ended March 31, 2025.</w:t>
      </w:r>
    </w:p>
    <w:p>
      <w:pPr>
        <w:spacing w:after="0" w:line="22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Liabilities for co-pay assistance, expected product returns, rebates, and distributor fees are classified as “Accrued variable consideration” in the condensed balance sheets. Discounts, such as prompt pay discounts, and chargebacks are recorded as a reduction to accounts receivable in the condensed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6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Inventory Costs</w:t>
      </w:r>
    </w:p>
    <w:p>
      <w:pPr>
        <w:spacing w:after="0" w:line="188" w:lineRule="exact"/>
        <w:rPr>
          <w:sz w:val="20"/>
          <w:szCs w:val="20"/>
          <w:color w:val="auto"/>
        </w:rPr>
      </w:pPr>
    </w:p>
    <w:p>
      <w:pPr>
        <w:ind w:right="100"/>
        <w:spacing w:after="0" w:line="236" w:lineRule="exact"/>
        <w:rPr>
          <w:sz w:val="20"/>
          <w:szCs w:val="20"/>
          <w:color w:val="auto"/>
        </w:rPr>
      </w:pPr>
      <w:r>
        <w:rPr>
          <w:rFonts w:ascii="Times New Roman" w:cs="Times New Roman" w:eastAsia="Times New Roman" w:hAnsi="Times New Roman"/>
          <w:sz w:val="18"/>
          <w:szCs w:val="18"/>
          <w:color w:val="auto"/>
        </w:rPr>
        <w:t>Prepaid inventory costs represent advance payments made by the Company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and contract manufacturers for raw materials and other inventory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for which the Company has not yet taken ownership of the materials. Prepaid inventory costs are recorded at cost, which approximates fair value, or using standard cost, and are reclassified to inventory when the related materials ownership transfers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treats the sale of future DSE royalties as debt, amortized under the effective interest rate method over the estimated life of the royalty sale agreement. The royalty sale liability is presented net of deferred issuance costs on the condensed balance sheets. The amortization of the liability related to future royalties and related interest expense are based on the Company's current estimates of future royalties, which the Company determines by using forecasted royalty sales from its collaboration partner, historical experience, third-party forecasts and current market conditions.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recognize the related non-cash interest expense. Royalty revenue is recognized and the related liability reduced as earned.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which requires additional disclosure of the nature of expenses included in the income statement. The primary goal is to improve the decision usefulness of expense information on public business entities' income statements through the disaggregation of relevant expense captions in the notes of the financial statements. This ASU will be effective for annual periods beginning after December 15, 2026, and interim periods after December 15, 2027. The Company is currently evaluating the timing and impacts of adoption of this ASU.</w:t>
      </w:r>
    </w:p>
    <w:p>
      <w:pPr>
        <w:spacing w:after="0" w:line="21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which amends certain aspects of the accounting for and disclosure of software costs. This ASU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after December 15, 2027, and interim reporting periods within those annual reporting periods. Early adoption is permitted. The Company is currently evaluating the timing and impacts of adoption of this ASU.</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2025.</w:t>
      </w:r>
    </w:p>
    <w:p>
      <w:pPr>
        <w:spacing w:after="0" w:line="158" w:lineRule="exact"/>
        <w:rPr>
          <w:sz w:val="20"/>
          <w:szCs w:val="20"/>
          <w:color w:val="auto"/>
        </w:rPr>
      </w:pPr>
    </w:p>
    <w:p>
      <w:pPr>
        <w:ind w:right="8400" w:firstLine="8"/>
        <w:spacing w:after="0" w:line="495"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amended on June 18, 2020, and further</w:t>
      </w:r>
    </w:p>
    <w:p>
      <w:pPr>
        <w:spacing w:after="0" w:line="3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amended on January 2, 2024 (as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2024, the Company entered into a settlement agreement (the "Settlement Agreement") with DSE to amicably resolve and dismiss their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dispute in the Southern District of New York. Under the Settlement Agreement, DSE has agreed to pay the Company an aggregate of</w:t>
      </w:r>
    </w:p>
    <w:p>
      <w:pPr>
        <w:spacing w:after="0" w:line="234" w:lineRule="auto"/>
        <w:rPr>
          <w:sz w:val="20"/>
          <w:szCs w:val="20"/>
          <w:color w:val="auto"/>
        </w:rPr>
      </w:pPr>
      <w:r>
        <w:rPr>
          <w:rFonts w:ascii="Times New Roman" w:cs="Times New Roman" w:eastAsia="Times New Roman" w:hAnsi="Times New Roman"/>
          <w:sz w:val="18"/>
          <w:szCs w:val="18"/>
          <w:color w:val="auto"/>
        </w:rPr>
        <w:t>$125.0 million, including (1) a $100.0 million payment within 15 business days of the effective date of the Settlement Agreement and (2) a $25.0 million</w:t>
      </w:r>
    </w:p>
    <w:p>
      <w:pPr>
        <w:spacing w:after="0" w:line="235" w:lineRule="auto"/>
        <w:rPr>
          <w:sz w:val="20"/>
          <w:szCs w:val="20"/>
          <w:color w:val="auto"/>
        </w:rPr>
      </w:pPr>
      <w:r>
        <w:rPr>
          <w:rFonts w:ascii="Times New Roman" w:cs="Times New Roman" w:eastAsia="Times New Roman" w:hAnsi="Times New Roman"/>
          <w:sz w:val="18"/>
          <w:szCs w:val="18"/>
          <w:color w:val="auto"/>
        </w:rPr>
        <w:t>payment in the calendar quarter immediately following the calendar quarter in which the EMA renders a decision on the application that was filed with the</w:t>
      </w:r>
    </w:p>
    <w:p>
      <w:pPr>
        <w:spacing w:after="0" w:line="235" w:lineRule="auto"/>
        <w:rPr>
          <w:sz w:val="20"/>
          <w:szCs w:val="20"/>
          <w:color w:val="auto"/>
        </w:rPr>
      </w:pPr>
      <w:r>
        <w:rPr>
          <w:rFonts w:ascii="Times New Roman" w:cs="Times New Roman" w:eastAsia="Times New Roman" w:hAnsi="Times New Roman"/>
          <w:sz w:val="18"/>
          <w:szCs w:val="18"/>
          <w:color w:val="auto"/>
        </w:rPr>
        <w:t>EMA for a Type II(a) variation for the Company’s oral non-statin products marketed as NILEMDO (bempedoic acid) tablets and NUSTENDI (bempedoic</w:t>
      </w:r>
    </w:p>
    <w:p>
      <w:pPr>
        <w:spacing w:after="0" w:line="184" w:lineRule="auto"/>
        <w:rPr>
          <w:sz w:val="20"/>
          <w:szCs w:val="20"/>
          <w:color w:val="auto"/>
        </w:rPr>
      </w:pPr>
      <w:r>
        <w:rPr>
          <w:rFonts w:ascii="Times New Roman" w:cs="Times New Roman" w:eastAsia="Times New Roman" w:hAnsi="Times New Roman"/>
          <w:sz w:val="18"/>
          <w:szCs w:val="18"/>
          <w:color w:val="auto"/>
        </w:rPr>
        <w:t>acid and ezetimibe) tablets in Europe. Pursuant to the Settlement Agreement, also on January 2, 2024, the Company entered into a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Amendment (the</w:t>
      </w:r>
    </w:p>
    <w:p>
      <w:pPr>
        <w:spacing w:after="0" w:line="234" w:lineRule="auto"/>
        <w:rPr>
          <w:sz w:val="20"/>
          <w:szCs w:val="20"/>
          <w:color w:val="auto"/>
        </w:rPr>
      </w:pPr>
      <w:r>
        <w:rPr>
          <w:rFonts w:ascii="Times New Roman" w:cs="Times New Roman" w:eastAsia="Times New Roman" w:hAnsi="Times New Roman"/>
          <w:sz w:val="18"/>
          <w:szCs w:val="18"/>
          <w:color w:val="auto"/>
        </w:rPr>
        <w:t>“DSE Amendment”) to the License and Collaboration Agreement dated January 2, 2019 with DSE. The DSE Amendment grants DSE the exclusive rights</w:t>
      </w:r>
    </w:p>
    <w:p>
      <w:pPr>
        <w:spacing w:after="0" w:line="220" w:lineRule="auto"/>
        <w:rPr>
          <w:sz w:val="20"/>
          <w:szCs w:val="20"/>
          <w:color w:val="auto"/>
        </w:rPr>
      </w:pPr>
      <w:r>
        <w:rPr>
          <w:rFonts w:ascii="Times New Roman" w:cs="Times New Roman" w:eastAsia="Times New Roman" w:hAnsi="Times New Roman"/>
          <w:sz w:val="18"/>
          <w:szCs w:val="18"/>
          <w:color w:val="auto"/>
        </w:rPr>
        <w:t>for clinical development, regulatory activities, manufacture and commercialization of a bempedoic acid/ezetimibe/statin triple combination pill in the DSE</w:t>
      </w:r>
    </w:p>
    <w:p>
      <w:pPr>
        <w:spacing w:after="0" w:line="234" w:lineRule="auto"/>
        <w:rPr>
          <w:sz w:val="20"/>
          <w:szCs w:val="20"/>
          <w:color w:val="auto"/>
        </w:rPr>
      </w:pPr>
      <w:r>
        <w:rPr>
          <w:rFonts w:ascii="Times New Roman" w:cs="Times New Roman" w:eastAsia="Times New Roman" w:hAnsi="Times New Roman"/>
          <w:sz w:val="18"/>
          <w:szCs w:val="18"/>
          <w:color w:val="auto"/>
        </w:rPr>
        <w:t>Territory. Further, after a transition period, DSE will assume sole responsibility for the manufacture of NILEMDO and NUSTENDI for the DSE Territory.</w:t>
      </w:r>
    </w:p>
    <w:p>
      <w:pPr>
        <w:spacing w:after="0" w:line="235" w:lineRule="auto"/>
        <w:rPr>
          <w:sz w:val="20"/>
          <w:szCs w:val="20"/>
          <w:color w:val="auto"/>
        </w:rPr>
      </w:pPr>
      <w:r>
        <w:rPr>
          <w:rFonts w:ascii="Times New Roman" w:cs="Times New Roman" w:eastAsia="Times New Roman" w:hAnsi="Times New Roman"/>
          <w:sz w:val="18"/>
          <w:szCs w:val="18"/>
          <w:color w:val="auto"/>
        </w:rPr>
        <w:t>As of January 2, 2024, DSE has sole authority and control of regulatory communications with the EMA regarding the pending marketing authorization</w:t>
      </w:r>
    </w:p>
    <w:p>
      <w:pPr>
        <w:spacing w:after="0" w:line="235" w:lineRule="auto"/>
        <w:rPr>
          <w:sz w:val="20"/>
          <w:szCs w:val="20"/>
          <w:color w:val="auto"/>
        </w:rPr>
      </w:pPr>
      <w:r>
        <w:rPr>
          <w:rFonts w:ascii="Times New Roman" w:cs="Times New Roman" w:eastAsia="Times New Roman" w:hAnsi="Times New Roman"/>
          <w:sz w:val="18"/>
          <w:szCs w:val="18"/>
          <w:color w:val="auto"/>
        </w:rPr>
        <w:t>applications for NILEMDO and NUSTENDI. Pursuant to the DSE Amendment, the Company is entitled to receive one-time cash payments of up to</w:t>
      </w:r>
    </w:p>
    <w:p>
      <w:pPr>
        <w:spacing w:after="0" w:line="235" w:lineRule="auto"/>
        <w:rPr>
          <w:sz w:val="20"/>
          <w:szCs w:val="20"/>
          <w:color w:val="auto"/>
        </w:rPr>
      </w:pPr>
      <w:r>
        <w:rPr>
          <w:rFonts w:ascii="Times New Roman" w:cs="Times New Roman" w:eastAsia="Times New Roman" w:hAnsi="Times New Roman"/>
          <w:sz w:val="18"/>
          <w:szCs w:val="18"/>
          <w:color w:val="auto"/>
        </w:rPr>
        <w:t>$300.0 million upon the achievement of certain commercial milestones related to total net sales achievements in the DSE Territory. The Company is also</w:t>
      </w:r>
    </w:p>
    <w:p>
      <w:pPr>
        <w:spacing w:after="0"/>
        <w:rPr>
          <w:sz w:val="20"/>
          <w:szCs w:val="20"/>
          <w:color w:val="auto"/>
        </w:rPr>
      </w:pPr>
      <w:r>
        <w:rPr>
          <w:rFonts w:ascii="Times New Roman" w:cs="Times New Roman" w:eastAsia="Times New Roman" w:hAnsi="Times New Roman"/>
          <w:sz w:val="18"/>
          <w:szCs w:val="18"/>
          <w:color w:val="auto"/>
        </w:rPr>
        <w:t>entitled to receive tiered 15% to 25% royalties on net DSE Territory sales.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20" w:firstLine="243"/>
        <w:spacing w:after="0" w:line="250" w:lineRule="auto"/>
        <w:rPr>
          <w:sz w:val="20"/>
          <w:szCs w:val="20"/>
          <w:color w:val="auto"/>
        </w:rPr>
      </w:pPr>
      <w:r>
        <w:rPr>
          <w:rFonts w:ascii="Times New Roman" w:cs="Times New Roman" w:eastAsia="Times New Roman" w:hAnsi="Times New Roman"/>
          <w:sz w:val="18"/>
          <w:szCs w:val="18"/>
          <w:color w:val="auto"/>
        </w:rPr>
        <w:t>In the three months ended March 31, 2026 and 2025, the Company recognized collaboration revenue of approximately $32.7 million and $29.4 million, respectively, related to royalty revenue from DSE from the sales of NILEMDO and NUSTENDI, as well as the sales of bulk tablets and API to DSE pursuant to the supply agreement that was executed with DSE.</w:t>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sales-based milestones. Additionally, the Company expects that any consideration related to sales-based milestones will be recognized when the subsequent sales occur.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which was further amended on November 5, 2025.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spacing w:after="0" w:line="16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Pursuant to the Otsuka Agreement, the consideration consists of a $60.0 million upfront cash payment and the Company will be eligible to receive additional payments of up to $450.0 million if certain regulatory and commercial milestones are achieved by Otsuka. The Company received $10.0 million in 2024 related to a milestone payment upon first Japanese New Drug Application ("JNDA") submissions in the Otsuka Territory. The Company received a $90.0 million payment in the fourth quarter of 2025 related to JNDA approval in the Otsuka Territory, the first NHI Price Listing for NEXLETOL in the Otsuka Territory, and the achievement of the primary major adverse cardiovascular events (“MACE”) endpoint in the CLEAR Outcomes study and inclusion of the CV risk reduction indication in the U.S. label. The potential future milestone payments include up to $10.0 million upon first JNDA approval in the Otsuka Territory for the Combination Product (as defined in the Otsuka Agreement) for the Initial Indication (as defined in the Otsuka Agreement) in the Otsuka Territory. In addition, the Company is eligible to receive additional sales milestone payments up to $310.0 million related to total net sales achievements for Otsuka in Japan. Finally, the Company will receive tiered twelve percent (12%) to thirty-three percent (33%) royalties on net sales in Japan.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Otsuka Agreement was in the scope of ASC 606. In the three months ended March 31, 2026, the Company recognized collaboration revenue of $2.1 million related to royalty revenue from Otsuka and sales of bulk tablets to Otsuka pursuant to the supply agreement that was executed with Otsuka. In the three months ended March 31, 2025, the Company did not have any collaboration revenue related to the Otsuka Agreement.</w:t>
      </w:r>
    </w:p>
    <w:p>
      <w:pPr>
        <w:spacing w:after="0" w:line="180"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DS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In October 2025, DS terminated their rights to sell bempedoic acid and the bempedoic acid / ezetimibe combination tablet in Cambodia and Myanmar.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spacing w:after="0" w:line="20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41"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$1.2 million and $0.4 million of collaboration revenue in the three months ended March 31, 2026 and 2025, respectively, related to royalty revenue from DS and sales of bulk tablets per the agreement with 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26, 2025, the Company entered into a license and distribution agreement with Seqirus Pty Ltd ("CSL Seqirus") for the rights to commercialize NEXLETOL and NEXLIZET in Australia and New Zealand. Under the terms of the agreement, the Company will receive upfront and near-term milestone payments and will be responsible for supplying finished product to CSL Seqirus. CSL Seqirus will be responsible for commercialization, including regulatory approval, reimbursement and marketing. During the three months ended March 31, 2026, the Company did not have any collaboration revenue related to the agreement. During the three months ended March 31, 2025, the Company recognized approximately $0.3 million of collaboration revenue related to the upfront milestone payment.</w:t>
      </w:r>
    </w:p>
    <w:p>
      <w:pPr>
        <w:spacing w:after="0" w:line="20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7"/>
          <w:szCs w:val="17"/>
          <w:color w:val="auto"/>
        </w:rPr>
        <w:t>On May 7, 2025, the Company entered into a license and distribution agreement with HLS Therapeutics Inc. (“HLS”) for the exclusive rights to commercialize NEXLETOL and NEXLIZET in Canada. Under the terms of the agreement, the Company will receive upfront and near-term milestone payments along with tiered royalties on product sales. The Company will be responsible for supplying finished product to HLS at a profitable transfer price. HLS will be responsible for commercialization, including reimbursement and marketing. During the three months ended March 31, 2026, the Company recognized $0.7 million of collaboration revenue related to sales of finished product pursuant to the agreement with HLS.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0"/>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98,767</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3"/>
        </w:trPr>
        <w:tc>
          <w:tcPr>
            <w:tcW w:w="7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105,124</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Inventory reserves were $16.4 million and $4.6 million at March 31, 2026 and December 31, 2025, respectively. Increases in prepaid inventory costs year over year are primarily driven by the timing of supplier purchases relative to the consumption of active pharmaceutical ingredient (“API”), as well as increased advance purchases to support expected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ANDA Litigation</w:t>
      </w:r>
    </w:p>
    <w:p>
      <w:pPr>
        <w:spacing w:after="0" w:line="24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1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2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collectively, “Dr. Reddy’s Laboratories”); Hetero USA Inc. (along with its affiliates, collectively, “Hetero USA”); Micro Labs USA Inc. (along with its affiliate, collectively, “Micro Labs”); MSN Pharmaceuticals Inc. (along with an affiliate); Renata Limited (“Renata”);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w:t>
      </w:r>
    </w:p>
    <w:p>
      <w:pPr>
        <w:spacing w:after="0" w:line="20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Company subsequently reached settlement agreements with Micro Labs, Hetero USA, Accord Healthcare Inc., Dr. Reddy’s Laboratories, and Alkem Laboratories Ltd. in May 2025, June 2025, July 2025, October 2025 and February 2026, respectively. Each settlement agreement resolved the patent litigation brought by the Company against the particular ANDA Filer, each of which has agreed not to market a generic version of NEXLETOL and/or NEXLIZET, as applicable, in the United States prior to April 19, 2040, unless certain circumstances customarily included in these types of agreements occur. With the settlement with Dr. Reddy’s Laboratories in October 2025, there are no remaining challenges regarding the validity or infringement of U.S Patent No. 7,335,799 in the pending patent litigation with the remaining ANDA filers. Certain of the Company’s patents that remain subject to the pending patent litigation are scheduled to expire in March 2036, while others are scheduled to expire in June 2040.</w:t>
      </w:r>
    </w:p>
    <w:p>
      <w:pPr>
        <w:spacing w:after="0" w:line="21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pending patent litigation against the remaining ANDA Filers (Aurobindo Pharma Limited (along with an affiliate); MSN Pharmaceuticals Inc. (along with an affiliate); Renata (along with an affiliate); and Sandoz Inc.) is ongoing, and there can be no assurance whether such ongoing patent litigation will allow a generic version of NEXLETOL and/or NEXLIZET, as applicable, to be marketed in the U.S. prior to April 19, 2040. The trial is anticipated to begin no earlier than January 2027, but no trial date has been set.</w:t>
      </w:r>
    </w:p>
    <w:p>
      <w:pPr>
        <w:spacing w:after="0" w:line="20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January 2026, Renata notified the Company that it had filed an ANDA with the FDA seeking approval of a generic version of NEXLIZET in the United States (the “2026 Renata ANDA”). The 2026 Renata ANDA is in addition to the ANDA that Renata had previously filed with respect to NEXLETOL, for which the pending patent litigation described above is ongoing. Under the Hatch-Waxman Act, the Company had 45 days from receipt of the 2026 Renata ANDA notice letter to commence patent infringement lawsuits against Renata in a federal district court to trigger a stay precluding the FDA’s approval of the 2026 Renata ANDA from being effective any earlier than 7.5 years from the date of approval of the NEXLIZET new drug application or entry of judgment holding the patents invalid, unenforceable, or not infringed, whichever occurs first. In March 2026, the Company filed a patent infringement lawsuit under the Hatch-Waxman Act in the United States District Court, District of New Jersey, against Renata. The Company’s complaint alleges that by filing the 2026 Renata ANDA, Renata has infringed NEXLIZET’s Orange Book patents included in its Paragraph IV certifications, and seeks an injunction preventing the FDA from granting final approval of the 2026 Renata ANDA before the expiration of the asserted patents, and a permanent injunction to prevent Renata from commercializing a generic version of NEXLIZET until the expiration of the asserted patents. No trial date has been set.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9"/>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9"/>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9"/>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other income, net in the statements of operations includes interest income on cash equivalents of $1.2 million. During the three months ended March 31, 2025, other income, net in the statements of operations includes interest income on cash equivalents of $1.1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1 inputs: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prices for identical assets or liabilities in active markets;</w:t>
      </w:r>
    </w:p>
    <w:p>
      <w:pPr>
        <w:spacing w:after="0" w:line="196" w:lineRule="exact"/>
        <w:rPr>
          <w:sz w:val="20"/>
          <w:szCs w:val="20"/>
          <w:color w:val="auto"/>
        </w:rPr>
      </w:pPr>
    </w:p>
    <w:p>
      <w:pPr>
        <w:sectPr>
          <w:pgSz w:w="11900" w:h="16838" w:orient="portrait"/>
          <w:cols w:equalWidth="0" w:num="2">
            <w:col w:w="1300" w:space="720"/>
            <w:col w:w="922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2 inputs:</w:t>
      </w:r>
    </w:p>
    <w:p>
      <w:pPr>
        <w:spacing w:after="0" w:line="20" w:lineRule="exact"/>
        <w:rPr>
          <w:sz w:val="20"/>
          <w:szCs w:val="20"/>
          <w:color w:val="auto"/>
        </w:rPr>
      </w:pPr>
      <w:r>
        <w:rPr>
          <w:sz w:val="20"/>
          <w:szCs w:val="20"/>
          <w:color w:val="auto"/>
        </w:rPr>
        <w:br w:type="column"/>
      </w:r>
    </w:p>
    <w:p>
      <w:pPr>
        <w:ind w:right="80"/>
        <w:spacing w:after="0" w:line="237" w:lineRule="auto"/>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 are observable or can be corroborated by market data; and</w:t>
      </w:r>
    </w:p>
    <w:p>
      <w:pPr>
        <w:spacing w:after="0" w:line="172" w:lineRule="exact"/>
        <w:rPr>
          <w:sz w:val="20"/>
          <w:szCs w:val="20"/>
          <w:color w:val="auto"/>
        </w:rPr>
      </w:pPr>
    </w:p>
    <w:p>
      <w:pPr>
        <w:sectPr>
          <w:pgSz w:w="11900" w:h="16838" w:orient="portrait"/>
          <w:cols w:equalWidth="0" w:num="2">
            <w:col w:w="1300" w:space="720"/>
            <w:col w:w="922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3 inputs:</w:t>
      </w:r>
    </w:p>
    <w:p>
      <w:pPr>
        <w:spacing w:after="0" w:line="20" w:lineRule="exact"/>
        <w:rPr>
          <w:sz w:val="20"/>
          <w:szCs w:val="20"/>
          <w:color w:val="auto"/>
        </w:rPr>
      </w:pPr>
      <w:r>
        <w:rPr>
          <w:sz w:val="20"/>
          <w:szCs w:val="20"/>
          <w:color w:val="auto"/>
        </w:rPr>
        <w:br w:type="column"/>
      </w:r>
    </w:p>
    <w:p>
      <w:pPr>
        <w:ind w:right="240"/>
        <w:spacing w:after="0" w:line="237" w:lineRule="auto"/>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 that market participants would use when pricing the asset or liability.</w:t>
      </w:r>
    </w:p>
    <w:p>
      <w:pPr>
        <w:spacing w:after="0" w:line="91" w:lineRule="exact"/>
        <w:rPr>
          <w:sz w:val="20"/>
          <w:szCs w:val="20"/>
          <w:color w:val="auto"/>
        </w:rPr>
      </w:pPr>
    </w:p>
    <w:p>
      <w:pPr>
        <w:sectPr>
          <w:pgSz w:w="11900" w:h="16838" w:orient="portrait"/>
          <w:cols w:equalWidth="0" w:num="2">
            <w:col w:w="1300" w:space="720"/>
            <w:col w:w="9220"/>
          </w:cols>
          <w:pgMar w:left="320" w:top="121"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Sale of Future Royalties</w:t>
      </w:r>
    </w:p>
    <w:p>
      <w:pPr>
        <w:spacing w:after="0" w:line="216"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8"/>
          <w:szCs w:val="18"/>
          <w:color w:val="auto"/>
        </w:rPr>
        <w:t>On June 27, 2024, the Company entered into the Purchase Agreement with OCM IP Healthcare Portfolio LP ("the Purchaser").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spacing w:after="0" w:line="1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evaluated the arrangement and determined that the proceeds from the sale of future royalties should be treated as a debt instrument according to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agreement depending on a number of factors, including the level and timing of forecasted royalty sales. The Company evaluates the interest rate quarterly based on its expectations of forecasted royalty sales from its license partner, historical experience, third-party forecasts and current market conditions utilizing the prospective method. A significant increase or decrease in future royalty sales will materially impact the royalty sale liability, interest expense and the time period for repayment. The repayment of the royalty sale liability to the Purchaser does not have a fixed repayment schedule. Rather, it will be completely repaid and extinguished when the Company has repaid an aggregate amount equal to 1.7x of the Purchase Price. The $9.6 million in issuance costs will be amortized through interest expense over the life of the agreement. Royalties are remitted to the Purchaser in the subsequent quarter from when it's earned. The Company recognizes those royalties in accounts receivable, net and accounts payable on the condensed balance sheets until the royalties are remitted to the Purchaser from DSE.</w:t>
      </w:r>
    </w:p>
    <w:p>
      <w:pPr>
        <w:spacing w:after="0" w:line="214"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As of March 31, 2026, the Company has recorded a liability, referred to as the “Royalty sale liability” on the condensed balance sheets, of $291.2 million, net of $6.2 million of capitalized issuance costs in connection with the royalty sale liability, which will be amortized to interest expense over the estimated term, $2.1 million of which will be amortized over the next 12 months and $4.1 million thereafter. As of December 31, 2025, the Company had recorded a liability of $295.8 million, net of $6.8 million of capitalized issuance costs, in connection with the royalty sale liability. The Company currently expects to repay $80.7 million in the next twelve months.</w:t>
      </w:r>
    </w:p>
    <w:p>
      <w:pPr>
        <w:spacing w:after="0" w:line="21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Company recorded $13.9 million and $13.1 million in interest expense related to this arrangement for the three months ended March 31, 2026 and 2025, respectively, which included approximately $0.6 million and $0.4 million, respectively, of amortized issuance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annual imputed interest rate is 1.4% as of March 31, 2026 and 1.6% as of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royalty sale liability activity during the three months ended March 31,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royalty sale liability at 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293,610</w:t>
            </w: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recognized and settled to Purchaser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2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royalty sale liability at March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296,219</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94"/>
        </w:trPr>
        <w:tc>
          <w:tcPr>
            <w:tcW w:w="9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royalty sale liability at December 31,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295,766</w:t>
            </w: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recognized and settled to Purchaser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r>
      <w:tr>
        <w:trPr>
          <w:trHeight w:val="22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royalty sale liability at March 31, 2026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291,179</w:t>
            </w:r>
          </w:p>
        </w:tc>
      </w:tr>
      <w:tr>
        <w:trPr>
          <w:trHeight w:val="21"/>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and to pay fees and expenses in connection with the Credit Agreement.</w:t>
      </w:r>
    </w:p>
    <w:p>
      <w:pPr>
        <w:spacing w:after="0" w:line="19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Loan will bear interest at an annual rate of 9.75% if paid in cash, and 11.75% if paid-in-kind. At the Company’s option, interest on the Loan may be paid-in-kind for the first four full fiscal quarters ending after the closing date. The Company elected to have interest on the Loan paid-in-kind for the second quarter ended June 30, 2025 and for the third quarter ended September 30, 2025. The Credit Agreement requires quarterly interest-only payments for the first four years after the closing date and, thereafter, the Loan will partially amortize in quarterly principal payments of 12.50%, with the outstanding balance to be repaid on the maturity date, which shall be five (5) years after the closing date (the “Maturity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 (the “Prepayment Premium”). The Loan is subject to mandatory prepayment in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event of specified asset dispositions, extraordinary receipts, unpermitted debt issuances, change of control, and, in certain circumstances, failure to settle the exchanges of the Company’s Existing Notes, subject to certain exceptions and thresholds and concurrent payment of certain fees and, if prepaid within the first four years of closing, the applicable Prepayment Premium.</w:t>
      </w:r>
    </w:p>
    <w:p>
      <w:pPr>
        <w:spacing w:after="0" w:line="217"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All obligations under the Credit Agreement shall be guaranteed by the Company’s present and future wholly owned subsidiaries, subject to customary exceptions, and secured by assets of Company and the guarantors, including the equity interests in the Company’s subsidiaries, subject to customary exceptions. The Credit Agreement contains a financial covenant to maintain minimum liquidity of $50.0 million. The Credit Agreement contains affirmative and negative covenants customary for a senior secured loan. The negative covenants under the Credit Agreement limit the ability of the Company and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2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w:t>
      </w:r>
    </w:p>
    <w:p>
      <w:pPr>
        <w:spacing w:after="0" w:line="18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connection with the borrowing of the Loan, the Company incurred 2.5% of original issue discount ("OID"), or approximately $3.8 million. In addition, the Company incurred debt issuance costs of $5.4 million in connection with the borrowing of the Loan. Both the OID and debt issuance costs were capitalized and included in long-term debt on the condensed balance sheets at the inception of the Loan, and are being amortized to interest expense using the effective interest method over the same term. As the Company elected to have interest on the loan paid-in-kind for the quarter ended June 30, 2025 and for the quarter ended September 30, 2025, $9.1 million was added to the principal balance of the Loan. As of March 31, 2026, the Company recognized $152.7 million of long-term debt related to the Credit Agreement on the condensed balance sheets, net of the remaining unamortized discount and debt issuance costs associated with the Loan of $2.6 million and approximately $3.8 million, respectively. As of December 31, 2025, the Company recognized $152.2 million of long-term debt related to the Credit Agreement on the condensed balance sheets, net of the remaining unamortized discount and debt issuance costs associated with the Loan of $2.8 million and approximately $4.1 million, respectively. During the three months ended March 31, 2026, the Company recognized approximately $4.3 million of interest expense, including $0.5 million of OID and debt issuance costs amortization. During the three months ended March 31, 2025, the Company recognized $4.1 million of interest expense, including $0.5 million of OID and debt issuance costs amortization.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22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“2025 Notes”). The 2025 Notes were the Company's senior unsecured obligations and matured on November 15, 2025 (the “Maturity Date”). The 2025 Notes were convertible into shares of the Company’s common stock, and could have been repurchased for cash, or a combination thereof, at the Company’s election, at an initial conversion rate of 30.2151 shares of common stock per $1,000 principal amount of the 2025 Notes, which is equivalent to an initial conversion price of approximately $33.096 per share of common stock, subject to adjustment. The Company paid interest on the 2025 Notes semi-annually in arrears on May 15 and November 15 of each year.</w:t>
      </w:r>
    </w:p>
    <w:p>
      <w:pPr>
        <w:spacing w:after="0" w:line="2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“2021 Exchange Agreement”) with two co-managed holders (the “Holders”) of its 2025 Notes. Under the terms of the 2021 Exchange Agreement the Holders agreed to exchange (the “2021 Exchange”) with the Company $15.0 million aggregate principal amount of the Convertible Notes held in the aggregate by them (and accrued interest thereon) for shares of the Company’s common stock. Pursuant to the 2021 Exchange Agreement, the number of shares of common stock to be issued by the Company to the Holders upon consummation of the 2021 Exchange was determined based upon the volume-weighted-average-price per share of common stock, subject to a floor of $5.62 per share, during the five trading-day averaging period, commencing on the trading day immediately following the date of the 2021 Exchange Agreement. The 2021 Exchange closed on November 3, 2021 with 1,094,848 shares of the Company's common stock being exchanged.</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12, 2024, the Company entered into privately negotiated exchange and subscription agreements with certain holders of its 4.00% Convertible Senior Subordinated Notes due 2025 (the “2025 Notes”) pursuant to which the Company issued $100.0 million aggregate principal amount of 5.75% Convertible Senior Subordinated Notes due in June 2030 (the “2030 Notes”) consisting of (a) approximately $57.5 million principal amount of 2030 Notes, along with approximately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$153.4 million in cash, including accrued interest, issued in exchange for approximately $210.1 million principal amount of 2025 Notes (the “Exchange Transaction”). The Company also issued and sold approximately $42.5 million aggregate principal amount of 2030 Notes for cash, pursuant to privately negotiated agreements (the “Subscription Transactions” and, together with the Exchange Transaction, the “Transaction”). The Exchange Transaction closed on December 17, 2024 under an Indenture between the Company and U.S. Bank Trust Company, National Association, as trustee. In exchange for issuing the 2030 Notes pursuant to the Exchange Transaction, the Company received and cancelled the exchanged 2025 Notes.</w:t>
      </w:r>
    </w:p>
    <w:p>
      <w:pPr>
        <w:spacing w:after="0" w:line="19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November 2025, the Company repaid the 2025 notes in full for $54.9 million. As of December 31, 2025, no principal amount or unamortized debt discount and issuance costs remained on the balance sheet.</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recorded $0.6 million of interest expense during the three months ended March 31, 2025, relating to the cash interest on the 2025 Notes due semi-annually and including the amortization of the debt issuance costs of $0.1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4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noted above, the Company issued $100.0 million aggregate principal amount of 5.75% Convertible Senior Subordinated Notes due 2030 (the “2030 Notes”) on December 17, 2024. The Company incurred approximately $3.3 million of issuance costs associated with the 2030 Notes.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2030 Notes mature on June 15, 2030, unless earlier converted, redeemed or repurchased. The 2030 Notes are the Company’s senior unsecured obligations and will pay interest on the 2030 Notes at an annual rate of 5.75% payable in cash semiannually in arrears on June 15 and December 15 of each year, beginning June 15, 2025. Before March 15, 2030, holders of the 2030 Notes will have the right to convert their notes only upon the occurrence of certain events. From and after March 15, 2030, holders may convert their notes at any time at their election until the close of business on the second scheduled trading day immediately before the maturity date. The Company will have the right to elect to settle conversions by paying or delivering, as applicable, cash, shares of its common stock or a combination of cash and shares of its common stock. The initial conversion rate is 326.7974 shares of common stock per $1,000 principal amount of notes, which represents an initial conversion price of approximately $3.06 per share of common stock. The conversion rate and conversion price will be subject to adjustment upon the occurrence of certain events. The indenture governing the 2030 Notes includes certain restrictive covenants that limit the Company’s ability to incur additional indebtedness, subject to certain exceptions.</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2030 Notes will be redeemable, in whole or in part, for cash at the Company’s option at any time, and from time to time, on or after December 20, 2027 and prior to the forty-first (41st) scheduled trading day immediately before the maturity date, but only if the last reported sale price per share exceeds 130% of the conversion price for a specified period of time and certain other conditions are satisfied. The redemption price will be equal to the principal amount of the 2030 Notes to be redeemed, plus accrued and unpaid interest, if any, to, but excluding, the redemption date.</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if the Company undergoes a “fundamental change” (as defined in the Indenture), subject to certain conditions, holders may require the Company to repurchase for cash all or part of their 2030 Notes in principal amounts of $1,000 or an integral multiple thereof. The repurchase price will be equal to the principal amount of the 2030 Notes to be repurchased, plus accrued and unpaid interest, if any, to, but excluding, the applicable repurchase date.</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Indenture provides for customary events of default, including payment defaults, breaches of covenants, failure to pay certain judgments and certain events of bankruptcy, insolvency and reorganization. If an event of default occurs and is continuing, the principal amount of the 2030 Notes, plus accrued and unpaid interest, if any, may be declared immediately due and payable, subject to certain conditions set forth in the Indenture. These amounts automatically become due and payable if an event of default relating to certain events of bankruptcy, insolvency or reorganization occurs.</w:t>
      </w:r>
    </w:p>
    <w:p>
      <w:pPr>
        <w:spacing w:after="0" w:line="19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As of March 31, 2026, the principal amount of 2030 Notes was $100.0 million, and the unamortized debt issuance costs were $2.6 million, for a net carrying amount of $97.4 million. As of December 31, 2025, the principal amount of 2030 Notes was $100.0 million, and the unamortized debt issuance costs were $2.7 million, for a net carrying amount of $97.3 million.</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recorded $1.6 million of interest expense during the three months ended March 31, 2026 relating to the cash interest on the 2030 Notes due semi-annually and including amortization of the debt issuance costs of $0.1 million. The Company recorded $1.6 million of interest expense during the three months ended March 31, 2025 relating to the cash interest on the 2030 notes due semi-annually and including amortization of the debt issuance costs of $0.1 million.</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no 2030 Notes were convertible pursuant to their terms. The estimated fair value of the 2030 Notes was $122.1 million as of March 31, 2026 and $145.3 million as of December 31, 2025. The estimated fair value of the 2030</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Notes was determined through consideration of quoted market prices. As of March 31, 2026, the if-converted value of the 2030 Notes did not exceed the principal value of those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of its covenants at March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Estimated future principal payments due under the Loan and 2030 Notes are as follows:</w:t>
            </w:r>
          </w:p>
        </w:tc>
      </w:tr>
      <w:tr>
        <w:trPr>
          <w:trHeight w:val="486"/>
        </w:trPr>
        <w:tc>
          <w:tcPr>
            <w:tcW w:w="3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0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80" w:type="dxa"/>
            <w:vAlign w:val="bottom"/>
          </w:tcPr>
          <w:p>
            <w:pPr>
              <w:spacing w:after="0"/>
              <w:rPr>
                <w:sz w:val="19"/>
                <w:szCs w:val="19"/>
                <w:color w:val="auto"/>
              </w:rPr>
            </w:pPr>
          </w:p>
        </w:tc>
      </w:tr>
      <w:tr>
        <w:trPr>
          <w:trHeight w:val="229"/>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139,206</w:t>
            </w:r>
          </w:p>
        </w:tc>
        <w:tc>
          <w:tcPr>
            <w:tcW w:w="180" w:type="dxa"/>
            <w:vAlign w:val="bottom"/>
          </w:tcPr>
          <w:p>
            <w:pPr>
              <w:spacing w:after="0"/>
              <w:rPr>
                <w:sz w:val="19"/>
                <w:szCs w:val="19"/>
                <w:color w:val="auto"/>
              </w:rPr>
            </w:pPr>
          </w:p>
        </w:tc>
      </w:tr>
      <w:tr>
        <w:trPr>
          <w:trHeight w:val="230"/>
        </w:trPr>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r>
      <w:tr>
        <w:trPr>
          <w:trHeight w:val="229"/>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2031</w:t>
            </w:r>
          </w:p>
        </w:tc>
        <w:tc>
          <w:tcPr>
            <w:tcW w:w="5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3"/>
        </w:trPr>
        <w:tc>
          <w:tcPr>
            <w:tcW w:w="3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259,093</w:t>
            </w:r>
          </w:p>
        </w:tc>
        <w:tc>
          <w:tcPr>
            <w:tcW w:w="180" w:type="dxa"/>
            <w:vAlign w:val="bottom"/>
          </w:tcPr>
          <w:p>
            <w:pPr>
              <w:spacing w:after="0"/>
              <w:rPr>
                <w:sz w:val="19"/>
                <w:szCs w:val="19"/>
                <w:color w:val="auto"/>
              </w:rPr>
            </w:pPr>
          </w:p>
        </w:tc>
      </w:tr>
      <w:tr>
        <w:trPr>
          <w:trHeight w:val="21"/>
        </w:trPr>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19,249</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21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 April 2022, the Company’s board of directors (the “Board”) approved the Esperion Therapeutics, Inc. 2022 Stock Option and Incentive Plan (as amended, the “2022 Plan”), which was approved by the Company's stockholders in May 2022.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April 2023, the Board approved a first amendment to the 2022 Plan, which was approved by the Company's stockholders in June 2023, which increased the number of shares of Common Stock reserved for awards under the 2022 Plan to 10,650,000. In April 2024, the Board approved a second amendment to the 2022 Plan, which was approved by the Company's stockholders in May 2024, which increased the number of shares of Common Stock reserved for awards under the 2022 Plan to 16,900,000. In April 2025, the Board approved a third amendment to the 2022 Plan, which was approved by the Company's stockholders in May 2025, which increased the number of shares of Common Stock reserved for awards under the 2022 Plan to 23,150,000.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1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April 2020, the Board approved the Esperion Therapeutics, Inc. 2020 Employee Stock Purchase Plan (as amended, the "ESPP"), which was approved by the Company's stockholders in May 2020 and was subsequently amended by a first amendment to the ESPP adopted by the Board in July 2020. The ESPP allows eligible employees to authorize payroll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deductions of up to 10% of their base salary or wages up to $25,000 annually to be applied toward the purchase of shares of Common Stock on the last trading day of the offering period. Participating employees will purchase shares of Common Stock at a discount of up to 15% on the lesser of the closing price of Common Stock on the NASDAQ Global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April 2024, the Board approved a second amendment to the ESPP, which was approved by the Company's stockholders in May 2024, which increased the number of shares of Common Stock reserved for future issuance under the ESPP by an additional 6,175,000 shares. During the three months ended March 31, 2026 and 2025, the Company recognized $0.1 million and $0.1 million respectively, of stock compensation expense related to the ESPP. As of March 31, 2026, there have been 1,566,114 shares issued and 5,433,886 shares reserved for future issuance under the ESPP.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Inducement Equity Plan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2017, the Board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three months ended March 31, 2026: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6,777,891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1,871,530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8,641,296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8,641,296</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was $0.7 million for the three months ended March 31, 2026, including $0.2 million that was capitalized into inventory, and $0.8 million, for the three months ended March 31, 2025, including less than $0.1 million that was capitalized into inventory. As of March 31, 2026, there was $7.6 million of unrecognized stock-based compensation expense related to unvested options, which will be recognized over a weighted-average period of 3.2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three months ended March 31,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443,500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 was no stock-based compensation related to PBSOs for the three months ended March 31, 2026 and 2025. As of March 31, 2026, there was no unrecognized stock-based compensation expense related to unvested PBSOs.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three months ended March 31,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4,727,390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(679,999)</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March 31,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10,866,302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RSUs was approximately $1.7 million for the three months ended March 31, 2026, including $0.4 million that was capitalized into inventory, and $1.6 million for the three months ended March 31, 2025, including $0.1 million that was capitalized into inventory. As of March 31, 2026, there was $22.7 million of unrecognized stock-based compensation expense related to unvested RSUs, which will be recognized over a weighted-average period of 3.3 years.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in each of the income statement line items for the three months ended March 31,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6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03"/>
        </w:trPr>
        <w:tc>
          <w:tcPr>
            <w:tcW w:w="3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r>
      <w:tr>
        <w:trPr>
          <w:trHeight w:val="23"/>
        </w:trPr>
        <w:tc>
          <w:tcPr>
            <w:tcW w:w="3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There was no provision for income taxes for the three months ended March 31, 2026 and 2025, because the Company has incurred annual operating losses since inception. At March 31, 2026,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reportable segment. The majority of the Company's business consists of researching, developing and commercializing therapies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 of patients with elevated LDL-C. The segment derives net product sales through sale of its NEXLETOL and NEXLIZET tablets to customers</w:t>
      </w:r>
    </w:p>
    <w:p>
      <w:pPr>
        <w:spacing w:after="0" w:line="234" w:lineRule="auto"/>
        <w:rPr>
          <w:sz w:val="20"/>
          <w:szCs w:val="20"/>
          <w:color w:val="auto"/>
        </w:rPr>
      </w:pPr>
      <w:r>
        <w:rPr>
          <w:rFonts w:ascii="Times New Roman" w:cs="Times New Roman" w:eastAsia="Times New Roman" w:hAnsi="Times New Roman"/>
          <w:sz w:val="18"/>
          <w:szCs w:val="18"/>
          <w:color w:val="auto"/>
        </w:rPr>
        <w:t>in the United States and through collaboration agreements with other third party companies to develop, manufacture and commercialize its products outside</w:t>
      </w:r>
    </w:p>
    <w:p>
      <w:pPr>
        <w:spacing w:after="0" w:line="235" w:lineRule="auto"/>
        <w:rPr>
          <w:sz w:val="20"/>
          <w:szCs w:val="20"/>
          <w:color w:val="auto"/>
        </w:rPr>
      </w:pPr>
      <w:r>
        <w:rPr>
          <w:rFonts w:ascii="Times New Roman" w:cs="Times New Roman" w:eastAsia="Times New Roman" w:hAnsi="Times New Roman"/>
          <w:sz w:val="18"/>
          <w:szCs w:val="18"/>
          <w:color w:val="auto"/>
        </w:rPr>
        <w:t>the United States. Net product sales were $43.4 million and $34.9 million for the three months ended March 31, 2026 and 2025, respectively. Collaboration</w:t>
      </w:r>
    </w:p>
    <w:p>
      <w:pPr>
        <w:spacing w:after="0" w:line="235" w:lineRule="auto"/>
        <w:rPr>
          <w:sz w:val="20"/>
          <w:szCs w:val="20"/>
          <w:color w:val="auto"/>
        </w:rPr>
      </w:pPr>
      <w:r>
        <w:rPr>
          <w:rFonts w:ascii="Times New Roman" w:cs="Times New Roman" w:eastAsia="Times New Roman" w:hAnsi="Times New Roman"/>
          <w:sz w:val="18"/>
          <w:szCs w:val="18"/>
          <w:color w:val="auto"/>
        </w:rPr>
        <w:t>revenue, which includes milestone payments, royalty revenues and sales of the Company's tablets to its collaboration partners, was $36.7 million and</w:t>
      </w:r>
    </w:p>
    <w:p>
      <w:pPr>
        <w:spacing w:after="0" w:line="235" w:lineRule="auto"/>
        <w:rPr>
          <w:sz w:val="20"/>
          <w:szCs w:val="20"/>
          <w:color w:val="auto"/>
        </w:rPr>
      </w:pPr>
      <w:r>
        <w:rPr>
          <w:rFonts w:ascii="Times New Roman" w:cs="Times New Roman" w:eastAsia="Times New Roman" w:hAnsi="Times New Roman"/>
          <w:sz w:val="18"/>
          <w:szCs w:val="18"/>
          <w:color w:val="auto"/>
        </w:rPr>
        <w:t>$30.1 million for the three months ended March 31, 2026 and 2025, respectively. During the three months ended March 31, 2026 and 2025, collaboration</w:t>
      </w:r>
    </w:p>
    <w:p>
      <w:pPr>
        <w:spacing w:after="0" w:line="219" w:lineRule="auto"/>
        <w:rPr>
          <w:sz w:val="20"/>
          <w:szCs w:val="20"/>
          <w:color w:val="auto"/>
        </w:rPr>
      </w:pPr>
      <w:r>
        <w:rPr>
          <w:rFonts w:ascii="Times New Roman" w:cs="Times New Roman" w:eastAsia="Times New Roman" w:hAnsi="Times New Roman"/>
          <w:sz w:val="18"/>
          <w:szCs w:val="18"/>
          <w:color w:val="auto"/>
        </w:rPr>
        <w:t>revenue was primarily derived in Europe and Japan from the Company's partners, DSE and Otsuka. The Company manages the business activities on a</w:t>
      </w:r>
    </w:p>
    <w:p>
      <w:pPr>
        <w:spacing w:after="0"/>
        <w:rPr>
          <w:sz w:val="20"/>
          <w:szCs w:val="20"/>
          <w:color w:val="auto"/>
        </w:rPr>
      </w:pPr>
      <w:r>
        <w:rPr>
          <w:rFonts w:ascii="Times New Roman" w:cs="Times New Roman" w:eastAsia="Times New Roman" w:hAnsi="Times New Roman"/>
          <w:sz w:val="18"/>
          <w:szCs w:val="18"/>
          <w:color w:val="auto"/>
        </w:rPr>
        <w:t>consolidated basis. The accounting policies of the segment are the same as those described in Note 2 “Summary of Significant Accounting Policies."</w:t>
      </w:r>
    </w:p>
    <w:p>
      <w:pPr>
        <w:spacing w:after="0" w:line="23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("CODM"). The CODM assesses the performance of the Company and decides how to allocate resources based on revenues and net (loss) income, which is reported on the condensed statements of operations. The chief operating decision maker also assesses performance by reviewing net cash (used in) provided by operating expenses, which is reported on the condensed statements of cash flows. The measure of segment assets is reported on the condensed balance sheets as total assets. The chief operating decision maker also reviews cash and cash equivalents. A significant component of the CODM's decision-making process is to ensure a balanced investment in research and development, as well as commercial activities to drive near-term success and sustain for the long term.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w:t>
      </w:r>
    </w:p>
    <w:p>
      <w:pPr>
        <w:spacing w:after="0" w:line="24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October 7, 2025, the Company entered into an Underwriting Agreement (the “2025 Underwriting Agreement”) with Piper Sandler &amp; Co. and Cantor Fitzgerald &amp; Co., as representative of the several underwriters (collectively, the “2025 Underwriters”), related to an underwritten public offering (the “2025 Offering”) of 30,000,000 shares (the “2025 Underwritten Shares”) of the Company’s Common Stock, at a public offering price of $2.50 per share. In addition, under the terms of the 2025 Underwriting Agreement, the underwriters were granted a 30-day option to purchase up to an additional 4,500,000 shares of Common Stock, at the public offering price. On October 10, 2025, the 2025 Underwriters gave notice to the Company of their partial election to exercise the underwriters' option to purchase 1,065,000 additional shares, which closed on October 14, 2025. Giving effect to the partial exercise of the underwriters' option, the Company issued an aggregate of 31,065,000 shares of Common Stock in the 2025 Offering, with net proceeds to the Company of approximately $72.6 million, after deducting the underwriting discount and offering expenses of approximately $5.1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4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In connection with an underwriting agreement with H.C. Wainwright &amp; Co., LLC ("Wainwright") on December 2, 2021, (the "December 2021 Offering"),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shares of Common Stock issued with the December 2021 Offering and the warrants. On December 7, 2023, 27,940,074 of these warrants expired. The remaining 9,024,212 warrants were amended as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 and Warrant Amendment</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19, 2023, the Company entered into a purchase agreement (the "2023 Purchase Agreement") with the Purchasers named therein (the "Purchasers") pursuant to which the Company agreed to issue and sell, in a registered direct offering (the "Registered Direct Offering"), 12,205,000 shares of Common Stock, pre-funded warrants ("Pre-Funded Warrants") to purchase up to an aggregate of 20,965,747 shares of Common Stock in lieu of shares of Common Stock, and warrants ("Warrants") to purchase up to 33,170,747 shares of Common Stock.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2023 Purchase Agreement contains customary representations, warranties, covenants and indemnification rights and obligations of the Company and the Purchasers. The Registered Direct Offering closed on March 22, 2023. The Warrants and Pre-Funded Warrants were recorded at fair value of $22.8 million to additional-paid-in-capital in accordance with ASC 815-10 based upon the allocation of the proceeds between the shares of Common Stock issued with the Registered Direct Offering and the Warrants and Pre-Funded Warrants. The Company estimated the fair value of the Warrants using a Black-Scholes option-pricing model, which is based, in part, upon subjective assumptions including but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 limited to stock price volatility, the expected life of the warrant, the risk-free interest rate and the fair value of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Common Stock at issuance.</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19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As of March 31, 2026, no Pre-Funded Warrants were outstanding. During the three months ended March 31, 2026, 11,250,000 warrants were exercised. During the three months ended March 31, 2025, no warrants were exercised. As of March 31, 2026 and December 31, 2025, the Company had 7,642,700 and 18,892,700 of outstanding warrants related to the Warrant Amendment Agreements and Purchase Agreement, respectively, at a weighted average exercise price of $1.55 and an expiration date of September 22, 2026.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Common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and the if-converted method for shares issuable upon conversion of convertible notes. For purposes of this calculation, warrants for common stock, stock options, PBSOs, unvested 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19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47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8,641,296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6,889,915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632,950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10,866,302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9,066,649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129,624</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32,679,739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34,338,912</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7,642,700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26,071,429</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60,451,664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77,129,479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 2026 (the “Closing Date”), the Company entered into the Amendment to the Credit Agreement, by and among the Company, as the borrower, the lenders party thereto and Administrative Agent. The First Amendment amends that certain Credit Agreement, by and among the Company, the Administrative Agent and the lenders party thereto. The Amendment, among other things, provides for the incurrence of additional term loans in an aggregate principal amount of $25,000,000 (the “First Amendment Term Loans”), to be used, among other things, to finance a portion of the acquisition of Corstasis (as defined below). Amounts available under the First Amendment Term Loans were borrowed in full on the Closing Date. The First Amendment Term Loans bear the same terms as the outstanding term loans under the Existing Credit Agreement.</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the Closing Date, the Company entered into a Royalty Purchase Agreement (the “Purchase Agreement”) with Athyrium Opportunities IV Acquisition LP, a limited partnership formed under the laws of the State of Delaware (the “Purchaser”). Pursuant to the Purchase Agreement, the Company sold to the Purchaser, and the Purchaser purchased for $50,000,000, a portion of the royalties payable to the Company on net sales of Bempedoic Acid (as defined in the License and Collaboration Agreement) and any other Licensed Products (as defined in the License and Collaboration Agreement) in the Otsuka Territory (as defined in the License and Collaboration Agreement), and of the regulatory and commercial milestones payable, in each case, pursuant to the License and Collaboration Agreement dated as of April 17, 2020, between Otsuka Pharmaceutical Co., Ltd., a corporation organized and existing under the laws of Japan, and the Company, as amended (the “License and Collaboration Agreement” and such payments, the “Receivables”). The Purchaser acquired 100% of the Receivables until such time as the Purchaser receives an aggregate amount equal to $100,000,000. Following receipt of such amount, 100% of all Receivables will revert to the Company. The Purchase Agreement contains other customary terms and conditions, including representations and warranties, covenants and indemnification obligations in favor of each party.</w:t>
      </w:r>
    </w:p>
    <w:p>
      <w:pPr>
        <w:spacing w:after="0" w:line="194"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8"/>
          <w:szCs w:val="18"/>
          <w:color w:val="auto"/>
        </w:rPr>
        <w:t>On March 2, 2026, the Company entered into the Corstasis Merger Agreement with Corstasis, Cirrus Transaction Subsidiary, Inc., a Delaware corporation and wholly owned subsidiary of the Company (“Merger Sub”) and certain other parties described therein. Pursuant to the Corstasis Merger Agreement, on April 2, 2026, the Company completed the Corstasis Merger. The aggregate up-front consideration for the Transactions was $75,000,000 in cash, subject to customary adjustments and a post-closing purchase price adjustment. In addition, the equityholders of Corstasis are entitled to receive: (i) milestone payments up to an aggregate amount equal to $180,000,000 if certain regulatory approval or commercial sales milestones are achieved and (ii) royalty and licensing-revenue-derived payments in connection with the Company’s (or its sublicensees’) future sales of certain products. The Company has not completed its assessment of the accounting for the Corstasis Merger as either an asset acquisition or business combination, as the Company is still in the process of obtaining historical financial information from Corstasis, and gathering the information needed to perform significance evaluations under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Article 11.</w:t>
      </w:r>
    </w:p>
    <w:p>
      <w:pPr>
        <w:spacing w:after="0" w:line="15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May 1, 2026, the Company entered into the Merger Agreement with Parent and MergerCo, pursuant to which, subject to the terms and conditions thereof, MergerCo will merge with and into the Company with the Company continuing as the surviving corporation and a wholly owned subsidiary of Parent. Subject to the terms and conditions set forth in the Merger Agreement, at the Effective Time, each share of the Company Common Stock issued and outstanding immediately prior to the Effective Time (other than shares of Company Common Stock (i) owned by Parent or MergerCo, (ii) owned by the Company as treasury shares or (iii) held by any person who properly exercises appraisal rights under Delaware law), will be converted into the right to receive (A) the Per Share Cash Consideration, plus (B) one contractual contingent value right per share, representing the right to participate in contingent payments in cash, without interest, upon the achievement of certain milestones as set forth in the CVR Agreement, on the terms and subject to the conditions set forth in the Merger Agreement and the CVR Agreement. Each CVR will entitle the holder to its pro rata share, in cash, of contingent payments of up to an additional $100,000,000 in the aggregate, without interest and less any applicable tax withholding, upon the achievement of specified milestones during the applicable milestone periods as set forth in the CVR Agreement.</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Consummation of the Merger is subject to the approval of the Company’s stockholders and other customary closing conditions, including, without limitation, (i) the expiration or early termination of the applicable waiting period under the Hart-Scott-Rodino Antitrust Improvements Act of 1976, as amended (the “HSR Act”), and the receipt of certain non-U.S. antitrust approval, (ii) the absence of legal restraints prohibiting the Merger, (iii) the accuracy of the other party’s representations and warranties, subject to certain customary materiality qualifications set forth in the Merger Agreement, (iv) the other party’s compliance in all material respects with its obligations under the Merger Agreement, and (v) no Material Adverse Effect (as defined in the Merger Agreement) with respect to the Company having occurred since the date of the Merger Agreement that is continuing. The Merger Agreement contains certain termination rights for the Company and Parent. Upon termination of the Merger Agreement, (i) Parent, under specified circumstances, including termination by the Company because Parent fails to consummate the Merger when required by the Merger Agreement, will be required to pay the Company a termination fee in the amount of $68,309,078; and (ii) the Company, under specified circumstances, including termination by the Company in order to enter into an acquisition agreement providing for a Superior Proposal, will be required to pay Parent a termination fee in the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amount of $34,154,539. The Merger has not closed as of the date these interim condensed financial statements were issued and is expected to close in the third quarter of 2026. Accordingly, the accompanying interim condensed financial statements do not reflect the Merger or any related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2025 and other filings that we make with the Securities and Exchange Commission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marketing strategy, expectations regarding our ability to complete the transactions contemplated by the Merger Agreement, including the timing thereof, the parties’ ability to satisfy the conditions set forth in the Merger Agreement, the potential effects of the pending Merger on us and the potential to achieve milestones related to contingent payments under the CVR, expectations regarding our ability to continue integrating Corstasis into our business, to commercialize Enbumyst, and to realize the anticipated benefits of the acquisition and the prospects associated with Enbumyst, including the potential size of the congestive heart failure market opportunity, clinical development and commercialization plans, or our future financial performance and involve known and unknown risks, uncertainties and other factors that may cause our actual results, performance or achievements, including in relation to our ability to remediate the material weakness in our internal control over financial reporting, the clinical development, commercialization plans, timing, designs and plans for the CLEAR Outcomes study and its results, plans for potential future product candidates and expectations regarding future transactions to further improve our balance sheet to be materially different from any future results, performance or achievements, including in relation to the clinical development, commercialization plans, net sales profitability, growth of our commercial products, clinical activities, commercial development plans, the outcomes and anticipated benefits of legal proceedings and settlements, expressed or implied by these forward-looking statements.</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we use the terms "Esperion," “we,” “us,” “our,” or the "Company” in this Quarterly Report on Form 10-Q to refer to Esperion Therapeutics,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low-density lipoprotein cholesterol, or LDL-C. Through commercial execution, product acquisitions, international partnerships and collaborations, and advancement of our pre-clinical pipeline, we continue to evolve into a leading global biopharmaceutical company.</w:t>
      </w:r>
    </w:p>
    <w:p>
      <w:pPr>
        <w:spacing w:after="0" w:line="21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lead products NEXLETOL® (bempedoic acid) tablets and NEXLIZET® (bempedoic acid and ezetimibe) tablets are oral, once-daily, non-statin medicines indicated to reduce the risk of myocardial infarction and coronary revascularization in adults who are unable or unwilling to take recommended statin therapy (including those not taking a statin) with established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CVD, or at high risk for a CVD event but without established CVD, and to reduce LDL-C in adults with primary hyperlipidemia. Our products were approved by the FDA, the European Commission, or EC (which, with respect to the UK, has been converted to a UK marketing authorization), and Swiss Agency for Therapeutic Products, or Swissmedic in 2020. The FDA approved expanded indications for NEXLETOL and NEXLIZET tablets in March 2024. The EC approved expanded indications for NILEMDO® (bempedoic acid) tablets and NUSTENDI® (bempedoic acid and ezetimibe) tablets in May</w:t>
      </w:r>
    </w:p>
    <w:p>
      <w:pPr>
        <w:spacing w:after="0" w:line="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2024. Otsuka Pharmaceutical Co., Ltd., or Otsuka, our Japanese collaborator, received approval from the Japanese Ministry of Health, Labour and Welfare to market NEXLETOL as a treatment for hypercholesterolemia and familial hypercholesterolemia in September 2025, with National Health Insurance, or NHI, pricing received in the fourth quarter of 2025. We filed supplemental NDAs for product approvals in Canada in November 2024, with NEXLETOL approval in the fourth quarter of 2025 and NEXLIZET approval expected in first half of 2026. Our collaboration partners filed in Israel in March 2025, with expected approval in the first half of 2026, and in Australia in July 2025, with expected approval in the fourth quarter of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 2026, we entered into the Corstasis Merger Agreement with Corstasis, Merger Sub and certain other parties described therein. Pursuant to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Corstasis Merger Agreement, on April 2, 2026, we completed the Corstasis Merger. The aggregate up-front consideration for the Transactions was</w:t>
      </w:r>
    </w:p>
    <w:p>
      <w:pPr>
        <w:spacing w:after="0" w:line="234" w:lineRule="auto"/>
        <w:rPr>
          <w:sz w:val="20"/>
          <w:szCs w:val="20"/>
          <w:color w:val="auto"/>
        </w:rPr>
      </w:pPr>
      <w:r>
        <w:rPr>
          <w:rFonts w:ascii="Times New Roman" w:cs="Times New Roman" w:eastAsia="Times New Roman" w:hAnsi="Times New Roman"/>
          <w:sz w:val="18"/>
          <w:szCs w:val="18"/>
          <w:color w:val="auto"/>
        </w:rPr>
        <w:t>$75,000,000 in cash, subject to customary adjustments and a post-closing purchase price adjustment. In addition, the equityholders of Corstasis are entitled</w:t>
      </w:r>
    </w:p>
    <w:p>
      <w:pPr>
        <w:spacing w:after="0" w:line="235" w:lineRule="auto"/>
        <w:rPr>
          <w:sz w:val="20"/>
          <w:szCs w:val="20"/>
          <w:color w:val="auto"/>
        </w:rPr>
      </w:pPr>
      <w:r>
        <w:rPr>
          <w:rFonts w:ascii="Times New Roman" w:cs="Times New Roman" w:eastAsia="Times New Roman" w:hAnsi="Times New Roman"/>
          <w:sz w:val="18"/>
          <w:szCs w:val="18"/>
          <w:color w:val="auto"/>
        </w:rPr>
        <w:t>to receive: (i) milestone payments up to an aggregate amount equal to $180,000,000 if certain regulatory approval or commercial sales milestones are</w:t>
      </w:r>
    </w:p>
    <w:p>
      <w:pPr>
        <w:spacing w:after="0" w:line="235" w:lineRule="auto"/>
        <w:rPr>
          <w:sz w:val="20"/>
          <w:szCs w:val="20"/>
          <w:color w:val="auto"/>
        </w:rPr>
      </w:pPr>
      <w:r>
        <w:rPr>
          <w:rFonts w:ascii="Times New Roman" w:cs="Times New Roman" w:eastAsia="Times New Roman" w:hAnsi="Times New Roman"/>
          <w:sz w:val="18"/>
          <w:szCs w:val="18"/>
          <w:color w:val="auto"/>
        </w:rPr>
        <w:t>achieved and (ii) royalty and licensing-revenue-derived payments in connection with the Company’s (or its sublicensees’) future sales of certain products.</w:t>
      </w:r>
    </w:p>
    <w:p>
      <w:pPr>
        <w:spacing w:after="0" w:line="235" w:lineRule="auto"/>
        <w:rPr>
          <w:sz w:val="20"/>
          <w:szCs w:val="20"/>
          <w:color w:val="auto"/>
        </w:rPr>
      </w:pPr>
      <w:r>
        <w:rPr>
          <w:rFonts w:ascii="Times New Roman" w:cs="Times New Roman" w:eastAsia="Times New Roman" w:hAnsi="Times New Roman"/>
          <w:sz w:val="18"/>
          <w:szCs w:val="18"/>
          <w:color w:val="auto"/>
        </w:rPr>
        <w:t>Through this acquisition, the Company has acquired Corstasis, the developer and commercial sponsor of Enbumyst, the first and only FDA-approved nasal</w:t>
      </w:r>
    </w:p>
    <w:p>
      <w:pPr>
        <w:spacing w:after="0" w:line="235" w:lineRule="auto"/>
        <w:rPr>
          <w:sz w:val="20"/>
          <w:szCs w:val="20"/>
          <w:color w:val="auto"/>
        </w:rPr>
      </w:pPr>
      <w:r>
        <w:rPr>
          <w:rFonts w:ascii="Times New Roman" w:cs="Times New Roman" w:eastAsia="Times New Roman" w:hAnsi="Times New Roman"/>
          <w:sz w:val="18"/>
          <w:szCs w:val="18"/>
          <w:color w:val="auto"/>
        </w:rPr>
        <w:t>spray loop diuretic. Enbumyst received FDA approval in September 2025 for the treatment of edema associated with congestive heart failure, as well as</w:t>
      </w:r>
    </w:p>
    <w:p>
      <w:pPr>
        <w:spacing w:after="0"/>
        <w:rPr>
          <w:sz w:val="20"/>
          <w:szCs w:val="20"/>
          <w:color w:val="auto"/>
        </w:rPr>
      </w:pPr>
      <w:r>
        <w:rPr>
          <w:rFonts w:ascii="Times New Roman" w:cs="Times New Roman" w:eastAsia="Times New Roman" w:hAnsi="Times New Roman"/>
          <w:sz w:val="18"/>
          <w:szCs w:val="18"/>
          <w:color w:val="auto"/>
        </w:rPr>
        <w:t>hepatic and renal disease in adults.</w:t>
      </w:r>
    </w:p>
    <w:p>
      <w:pPr>
        <w:spacing w:after="0" w:line="21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On May 1, 2026, we entered into the Merger Agreement with Parent and MergerCo, pursuant to which, subject to the terms and conditions thereof, MergerCo will merge with and into the Company with the Company continuing as the surviving corporation and a wholly owned subsidiary of Parent. Subject to the terms and conditions set forth in the Merger Agreement, at the Effective Time, each share of the Company Common Stock issued and outstanding immediately prior to the Effective Time (other than shares of Company Common Stock (i) owned by Parent or MergerCo, (ii) owned by the Company as treasury shares or (iii) held by any person who properly exercises appraisal rights under Delaware law), will be converted into the right to receive (A) the Per Share Cash Consideration, plus (B) one contractual contingent value right per share, representing the right to participate in contingent payments in cash, without interest, upon the achievement of certain milestones as set forth in the CVR Agreement, on the terms and subject to the conditions set forth in the Merger Agreement and the CVR Agreement. Each CVR will entitle the holder to its pro rata share, in cash, of contingent payments of up to an additional $100,000,000 in the aggregate, without interest and less any applicable tax withholding, upon the achievement of specified milestones during the applicable milestone periods as set forth in the CVR Agreement. Consummation of the Merger is subject to the approval of the Company’s stockholders and other customary closing conditions. The Merger is expected to close in the third quarter of 2026.</w:t>
      </w:r>
    </w:p>
    <w:p>
      <w:pPr>
        <w:spacing w:after="0" w:line="2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and royalty interest purchase agreements. We have incurred losses in each year since our inception.</w:t>
      </w:r>
    </w:p>
    <w:p>
      <w:pPr>
        <w:spacing w:after="0" w:line="17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have never been profitable. Our net loss was $25.2 million for the three months ended March 31, 2026. Our net loss was $40.5 million for the three months ended March 31, 2025. Substantially all of our net losses resulted from costs incurred in connection with research and development programs and selling, general and administrative costs associated with our operations. We expect to incur expenses and operating losses for the immediate future in connection with our ongoing activities, including, among others:</w:t>
      </w:r>
    </w:p>
    <w:p>
      <w:pPr>
        <w:spacing w:after="0" w:line="22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research and development activities.</w:t>
      </w:r>
    </w:p>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when needed or on acceptable terms, or at all. Our failure to raise capital as and when needed would have 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material adverse effect on our financial condition and our ability to pursue our business strategy or continue operations. We will need to generate significant revenues to achieve profitability, and we may never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1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NEXLETOL is a first-in-class ATP Citrate Lyase, or ACLY, inhibitor that lowers LDL-C and cardiovascular risk by reducing cholesterol biosynthesis and up-regulating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 placebo corrected LDL-C reduction, and a resulting 13% lower risk of major cardiovascular events versus placebo. NEXLETOL was approved by the FDA in February 2020, with the label expanded to include an indication for cardiovascular risk reduction March 2024, and received a subsequent update to the cardiovascular risk reduction indication in November 2025 to encompass all components of the primary composite endpoint from CLEAR Outcomes.</w:t>
      </w:r>
    </w:p>
    <w:p>
      <w:pPr>
        <w:spacing w:after="0" w:line="20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cholesterol absorption in the intestine. Phase 3 data demonstrated NEXLIZET lowered LDL-C by a mean of 38% compared to placebo when added on to maximally tolerated statins. NEXLIZET was approved by the FDA in February 2020, with the label expanded to include an indication for cardiovascular risk reduction in March 2024, and received a subsequent update to the cardiovascular risk reduction indication in November 2025 to encompass all components of the primary composite endpoint from CLEAR Outcomes.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cholesterol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incurred $3.0 million in expenses related to ongoing clinical studies, including our pediatric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we incurred $4.0 million in expenses related to ongoing clinical studies.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and NEXLIZET were commercially available in the U.S. on March 30, 2020 and June 4,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Daiichi Sankyo Europe GmbH, or DSE, Otsuka, and Daiichi Sankyo Co. Ltd, or DS, and our other ex-U.S. collaboration partners. Collaboration revenue for the three months ended March 31, 2026 and 2025 was primarily related to sales of bulk tablets, finished product and active pharmaceutical ingredient, or API, under our supply agreements and royalty revenue received from our collaboration partners. Under contracted supply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agreements with ex-U.S. collaborators, we may manufacture and supply quantities of API, finished product or bulk tablets reasonably required by ex-U.S. collaboration partners for the development or sale of licensed products in their respective territory. We recognize revenue when the collaboration partner has obtained control of the API, finished product,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our supply agreements with our collaboration partners.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and any other product candidate we may choose to pursue, which include:</w:t>
      </w:r>
    </w:p>
    <w:p>
      <w:pPr>
        <w:spacing w:after="0" w:line="206"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and our early-stage pipeline assets.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remain consistent in 2026 as we continue our phase III pediatric trial and continue progressing our preclinical pipeline. We cannot determine with certainty the duration and completion costs associated with the ongoing or future clinical studies of bempedoic acid and the bempedoic acid / ezetimibe combination tablet or any other product candidate we may choose to pursue.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Europe, Japan, and other currently approved countries.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our business, including costs associated with the commercialization of NEXLETOL and NEXLIZET, selling expenses, facility-related costs, communication expenses and professional fees for legal, patent prosecution, protection and review, consulting and accounting services.</w:t>
      </w:r>
    </w:p>
    <w:p>
      <w:pPr>
        <w:spacing w:after="0" w:line="17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expect our selling, general and administrative expenses to increase slightly in 2026 compared to 2025 with the addition of ENBUMYST initiatives and the expanded commercialization initiatives for NEXLETOL and NEXLIZET and increases in our associated headcount to expand our sales team.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royalty purchase agreement, or Royalty Purchase Agreement, with OCM IP Healthcare Portfolio LP, or OMERS, entered into on June 27, 2024, our $150.0 million term loan, or Loan, entered into on December 13, 2024, and our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primarily relates to interest income and includes income related to the sale of leased vehicles.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net product sales and royalty purchase agreement.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23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March 31, 2026 was $43.4 million compared to $34.9 million for the three months ended March 31, 2025, an increase of $8.5 million. The increase is primarily due to prescription growth volumes of NEXLETOL and NEXLIZET compared to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March 31, 2026 was $36.7 million compared to</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$30.1 million for the three months ended March 31, 2025, an increase of $6.6 million. The increase is due to increased royalty sales growth within our partner territories.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Cost of goods sold for the three months ended March 31, 2026 was $34.6 million compared to $31.5 million for the three months ended March 31, 2025, an increase of approximately $3.1 million. The increase is primarily related to an increase in selling costs for certain inventory, resulting in an increase in the inventory reserves, partially offset by production related write-offs in the three months ended March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were $9.0 million, compared to $12.6 million for the three months ended March 31, 2025, a decrease of $3.6 million. The decrease in research and development expenses was primarily attributable to timing on our ongoing clinical studies and preclinical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were $43.1 million, compared to $43.0 million for the three months ended March 31, 2025, an increase of $0.1 million. The increase in selling, general and administrative expenses was primarily attributable to increased legal costs associated with the ANDA litigation and increased media costs offset partially by a decrease in compensation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March 31, 2026, was $19.8 million, compared to $19.4 million for the three months ended March 31, 2025, an increase of $0.4 million. Interest expense for the three months ended March 31, 2026 and 2025 was related to our royalty sale liability, Loan and convertible notes and the associated amortization of debt issuance costs and original issue discounts. The increase in interest expense was primarily attributable to interest on our royalty sale liability and Loan, partially offset by lower convertible debt interest due to the payback of our 2020 Notes in November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2026, was $1.2 million, compared to $1.1 million for the three months ended March 31, 2025, an increase of $0.1 million. This increase was primarily due to higher interest income due to higher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and royalty purchase agreements. Pursuant to the license and collaboration agreements with DSE, DS, and Otsuka, we are eligible for substantial additional sales and regulatory milestone payments and royalties.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October 7, 2025, we entered into an underwriting agreement, or the 2025 Underwriting Agreement, with Piper Sandler &amp; Co. and Cantor Fitzgerald &amp; Co., as representative of the several underwriters, or the 2025 Underwriters, related to an underwritten public offering, or the 2025 Offering, of 30,000,000 shares our Common Stock, at a public offering price of $2.50 per share. In addition, under the terms of the 2025 Underwriting Agreement, the underwriters were granted a 30-day option to purchase up to an additional 4,500,000 shares of Common Stock, at the public offering price. On October 10, 2025, the underwriters gave notice to the Company of their partial election exercise the underwriters' option to purchase 1,065,000 additional shares, which closed on October 14, 2025. Giving effect to the partial exercise of underwriters' option, the Company issued an aggregate of 31,065,000 shares of Common Stock in the 2025 Offering, with net proceeds to the Company of approximately $72.6 million, after deducting the underwriting discount and offering expenses of approximately $5.1 million.</w:t>
      </w:r>
    </w:p>
    <w:p>
      <w:pPr>
        <w:spacing w:after="0" w:line="187"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existing Form S-3 and the prospectus supplement filed on February 21, 2023. During the year ended December 31, 2025, we issued 7,661,505 shares of common stock resulting in net proceeds of approximately $15.4 million after deducting approximately $0.4 million of commissions and other expenses, pursuant to the 2023 ATM Program.</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2, 2026, or the Closing Date, we entered into the First Amendment to Credit Agreement, or the Amendment, amending that certain Credit Agreement, dated as of December 13, 2024. The Amendment, among other things, provides for the incurrence of additional term loans in an aggregate principal amount of $25.0 million to be used, among other things, to finance a portion of the Company's acquisition of Corstasis, which included an upfront payment of $75.0 million on April 2, 2026. Amounts available under the First Amendment Term Loans were borrowed in full on the Closing Date. The First Amendment Term Loans bear the same terms as the outstanding term loans under the Existing Credit Agreement. On the Closing Date, the Company entered into a Royalty Purchase Agreement with Athyrium Opportunities IV Acquisition LP, or the Purchaser. Pursuant to the Purchase Agreement, the Purchaser purchased for $50.0 million a portion of the royalties payable to the Company on net sales of Bempedoic Acid (as defined in the License and Collaboration Agreement) and any other Licensed Products (as defined in the License and Collaboration Agreement) in the Otsuka Territory (as defined in the License and Collaboration Agreement), and of the regulatory and commercial milestones payable, in each case, pursuant to the License and Collaboration Agreement dated as of April 17, 2020, between Otsuka and the Company, as amended. The Purchaser acquired 100% of the Receivables until such time as the Purchaser receives an aggregate amount equal to $100.0 million. Following receipt of such amount, 100% of all Receivables will revert to the Company.</w:t>
      </w:r>
    </w:p>
    <w:p>
      <w:pPr>
        <w:spacing w:after="0" w:line="19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We anticipate that we will incur operating losses for the immediate future as we continue to incur substantial expenses related to the ongoing commercialization of NEXLETOL and NEXLIZET, the integration of Corstasis and ongoing commercialization of Enbumyst,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w:t>
      </w:r>
    </w:p>
    <w:p>
      <w:pPr>
        <w:spacing w:after="0" w:line="20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March 31, 2026, our primary sources of liquidity were our cash and cash equivalents which totaled $156.2 million and does not include the net cash received from the Amendment to the Credit Agreement or Royalty Purchase Agreement with the Purchaser or the net cash up-front consideration paid to Corstasis for the transactions from the Corstasis Merger Agreement, as described above. We invest our cash equivalents in highly liquid, interest-bearing investment-grade securities to preserve principal.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(22,628)</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(30,128)</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 and our early stage pipeline assets.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totaled $27.7 million and $22.6 million for the three months ended March 31, 2026 and 2025 consisted primarily of net product sales of NEXLETOL and NEXLIZET and collaboration revenue fully offset by cash used to fund the commercialization activities of NEXLETOL and NEXLIZET and the research and development costs related to bempedoic acid and the bempedoic acid / ezetimibe combination tablet and our other early stage pipeline assets, adjusted for non-cash items such as royalty revenue paid or to be paid to OMERS, stock-based compensation expense, interest expense related to our royalty sale agreement, amortization of issuance costs on our convertible notes, depreciation and amortization and changes in working capital, including increases in prepaid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of $0.2 million for the three months ended March 31, 2026 consisted of purchases of property, plant,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cash used in or provided by investing activities for the three months ended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$16.2 million for the three months ended March 31, 2026 related to cash received from the exercise of our warrants. Net cash used in financing activities of $7.5 million for the three months ended March 31, 2025 related primarily to payments of issuance costs on our December 2024 Credit Agreement and Exchange Transaction.</w:t>
      </w:r>
    </w:p>
    <w:p>
      <w:pPr>
        <w:spacing w:after="0" w:line="162"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On October 7, 2025, we entered into the 2025 Underwriting Agreement with Piper Sandler &amp; Co. and Cantor Fitzgerald &amp; Co., as representatives of the underwriters, pursuant to which we issued and sold an aggregate of 31,065,000 shares of Common Stock, which includes the partial exercise of the underwriters’ option to purchase 1,065,000 additional shares, at the public offering price of $2.50 per share. As a result of the Offering, we received approximately $72.6 million in net proceeds, after deducting the underwriting discount and offering expenses of approximately $5.1 million.</w:t>
      </w:r>
    </w:p>
    <w:p>
      <w:pPr>
        <w:spacing w:after="0" w:line="20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December 13, 2024, we entered into a credit agreement, or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or the Loan, which was borrowed in full at closing. Proceeds from the Loan were used repay a portion of the outstanding obligations under our 2025 Notes, and to pay an original issue discount of $3.8 million and fees and expenses in connection with the Credit Agreement of $5.4 million. The Loan will bear interest at an annual rate of 9.75% if paid in cash, and 11.75% if paid-in-kind. At the Company's option, interest on the Loan could be paid-in-kind for the first four full fiscal quarters ending after the closing date. As the Company elected to have interest on the loan paid-in-kind for the quarter ended June 30, 2025 and for the quarter ended September 30, 2025, $9.1 million was added to the principal balance of the Loan. The Credit Agreement requires quarterly interest-only payments for the first four years after the closing date and, thereafter, the Loan will partially amortize in quarterly principal payments of 12.5%, with the outstanding balance to be repaid on the maturity date of December 13, 2029. Subsequent to the quarter ended March 31, 2026, on April 2, 2026, we entered into the First Amendment to Credit Agreement, or the Amendment. The Amendment, among other things, provides for the incurrence of additional term loans in an aggregate principal amount of $25.0 million. After giving effect to the Amendment, future payments under the Loan are expected to be annual interest of $18.2 million, $23.0 million in principal in the year ended December 31, 2028, and the remaining approximately $161.1 million in principal in the year ended December 31, 2029.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27, 2024, we entered into a Royalty Purchase Agreement, or the Purchase Agreement, with OMERS. Pursuant to the Purchase Agreement, we sold a portion of the royalties payable on net sales of Bempedoic Acid from our collaboration partner DSE. Pursuant to the Purchase Agreement, we received $304.7 million, less issuance costs. OMERS acquired 100% of the Royalty Interests until such time as they have received an aggregate amount equal to</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1.7x of the Purchase Price (equivalent to approximately $517.9 million). Following receipt of such amount, 100% of all Royalty Interests will revert to the Company. Through March 31, 2026, the royalties recognized and settled to the Purchaser was $99.6 million. The Company expects future royalties to OMERS may range from $80.7 million in the next year to a maximum total payment of approximately $337.6 million beyond one year. A significant increase or decrease in future royalties will materially impact the royalty sale liability, interest expense and the time period for repayment. Refer to Note 8 "Sale of Future Royalties" in our condensed financial statements included in this Quarterly Report on Form 10-Q for the quarter ended March 31, 2026 for further information.</w:t>
      </w:r>
    </w:p>
    <w:p>
      <w:pPr>
        <w:spacing w:after="0" w:line="186"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On March 22, 2023, we issued and sold, in a registered direct offering, or the Registered Direct Offering, 12,205,000 shares of our common stock, pre-funded warrants to purchase up to an aggregate of 20,965,747 shares of our common stock,</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 lieu of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The amended warrants are immediately exercisable and will expire on September 22, 2026, which may provide us with additional funding, if such amended warrants are exercised by their holders. Each pre-funded warrant is exercisable for one share of our common stock at an exercise price of $0.001 per share. The pre-funded warrants were immediately exercisable and could be exercised at any time. As of March 31, 2026, no pre-funded warrants were outstanding as all were exercised during the year ended 2023.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During the three months ended March 31, 2026, 11,250,000 warrants were exercised for $16.2 million in net proceeds, after issuance fees. During the three months ended March 31, 2025, no warrants were exercised.</w:t>
      </w:r>
    </w:p>
    <w:p>
      <w:pPr>
        <w:spacing w:after="0" w:line="21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On December 17, 2024, we entered into an Exchange Agreement where we repaid $210.1 million aggregate principal amount of our $265.0 million 2025 Notes and associated accrued interest. Payments under the 4.00% 2025 Notes after the Exchange Transaction included annual interest of $2.2 million and a principal payment of $54.9 million. In November 2025, we repaid the 2025 Notes in full and have no future payments. Refer to Note 9 "Debt" in our condensed financial statements appearing elsewhere in this Quarterly Report on Form 10-Q.</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17, 2024, we issued $100.0 million aggregate principal amount of 5.75% convertible senior subordinated notes due 2030 to certain financial institutions as the initial purchasers of the convertible notes, or 2030 Notes. Future payments under the 2030 Notes include annual interest of approximately $5.8 million and a principal payment of $100.0 million in 2030. Refer to Note 9 "Debt" in our condensed financial statements appearing elsewhere in this Quarterly Report on Form 10-Q.</w:t>
      </w:r>
    </w:p>
    <w:p>
      <w:pPr>
        <w:spacing w:after="0" w:line="193"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8"/>
          <w:szCs w:val="18"/>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shelf registration statement on Form S -3 (File No. 333-286631) filed with the SEC on April 18, 2025, including the sales agreement prospectus contained therein, as declared effective by the SEC on April 29, 2025. No shares were issued from the 2023 ATM in the three months ended March 31, 2026 and 2025.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We expect to continue to incur expenses and operating losses for the immediate future in connection with our continued commercialization activities associated with NEXLETOL and NEXLIZET in the U.S., as well as the integration of Corstasis, the ongoing commercialization of Enbumyst, and efforts to realize anticipated growth opportunities and synergies.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the outcome of the proposed Merger with Parent, as well as a number of other factors, including, but not limited to:</w:t>
      </w:r>
    </w:p>
    <w:p>
      <w:pPr>
        <w:spacing w:after="0" w:line="23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NEXLIZET and ENBUMYST or other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and payment of potential debt maturities;</w:t>
      </w:r>
    </w:p>
    <w:p>
      <w:pPr>
        <w:spacing w:after="0" w:line="21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collaborations and partnerships and our ability to establish any future collaboration or commercialization arrangements on favorable terms, if at all;</w:t>
      </w:r>
    </w:p>
    <w:p>
      <w:pPr>
        <w:spacing w:after="0" w:line="203" w:lineRule="exact"/>
        <w:rPr>
          <w:rFonts w:ascii="Times New Roman" w:cs="Times New Roman" w:eastAsia="Times New Roman" w:hAnsi="Times New Roman"/>
          <w:sz w:val="18"/>
          <w:szCs w:val="18"/>
          <w:color w:val="auto"/>
        </w:rPr>
      </w:pPr>
    </w:p>
    <w:p>
      <w:pPr>
        <w:ind w:left="1300" w:right="16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acquisition of Corstasis and the prospects associated with Enbumyst, including the potential size of the congestive heart failure market opportunity, as well as our ability to realize the anticipated benefits of the acquisition, which may not be achieved or may take longer than expected;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right="12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integrate Corstasis within our business, continue to commercialize Enbumyst, and to realize anticipated growth opportunities and synergies;</w:t>
      </w:r>
    </w:p>
    <w:p>
      <w:pPr>
        <w:spacing w:after="0" w:line="189" w:lineRule="exact"/>
        <w:rPr>
          <w:rFonts w:ascii="Times New Roman" w:cs="Times New Roman" w:eastAsia="Times New Roman" w:hAnsi="Times New Roman"/>
          <w:sz w:val="18"/>
          <w:szCs w:val="18"/>
          <w:color w:val="auto"/>
        </w:rPr>
      </w:pPr>
    </w:p>
    <w:p>
      <w:pPr>
        <w:ind w:left="1300" w:right="62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collaborations and partnerships, including receiving potential milestone payments from collaboration partners;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and results of clinical trials and regulatory actions relating to our product candidates or those of our competitors;</w:t>
      </w:r>
    </w:p>
    <w:p>
      <w:pPr>
        <w:spacing w:after="0" w:line="237" w:lineRule="exact"/>
        <w:rPr>
          <w:rFonts w:ascii="Arial" w:cs="Arial" w:eastAsia="Arial" w:hAnsi="Arial"/>
          <w:sz w:val="18"/>
          <w:szCs w:val="18"/>
          <w:color w:val="auto"/>
        </w:rPr>
      </w:pPr>
    </w:p>
    <w:p>
      <w:pPr>
        <w:ind w:left="1300" w:right="80" w:hanging="644"/>
        <w:spacing w:after="0" w:line="24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advance our pipeline through business development activities, including collaborations, licensing arrangements or other strategic transactions, and our ability to execute and realize the anticipated and potential benefits of any such transactions we may pursue;</w:t>
      </w:r>
    </w:p>
    <w:p>
      <w:pPr>
        <w:spacing w:after="0" w:line="210"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 including challenges to the validity, scope or enforceability of our issued patents, litigation or other proceedings arising from ANDA filings or similar regulatory submissions, and our ability to defend and enforce our intellectual property rights;</w:t>
      </w:r>
    </w:p>
    <w:p>
      <w:pPr>
        <w:spacing w:after="0" w:line="202" w:lineRule="exact"/>
        <w:rPr>
          <w:rFonts w:ascii="Arial" w:cs="Arial" w:eastAsia="Arial" w:hAnsi="Arial"/>
          <w:sz w:val="18"/>
          <w:szCs w:val="18"/>
          <w:color w:val="auto"/>
        </w:rPr>
      </w:pPr>
    </w:p>
    <w:p>
      <w:pPr>
        <w:ind w:left="1300" w:right="440" w:hanging="644"/>
        <w:spacing w:after="0" w:line="296" w:lineRule="auto"/>
        <w:tabs>
          <w:tab w:leader="none" w:pos="12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disruptions in review, approval, inspection, or other actions by the FDA or other applicable U.S. or foreign government regulatory authorities that could impact the timing, initiation, conduct, or completion of our clinical trials or marketing applications;</w:t>
      </w:r>
    </w:p>
    <w:p>
      <w:pPr>
        <w:spacing w:after="0" w:line="179" w:lineRule="exact"/>
        <w:rPr>
          <w:rFonts w:ascii="Times New Roman" w:cs="Times New Roman" w:eastAsia="Times New Roman" w:hAnsi="Times New Roman"/>
          <w:sz w:val="17"/>
          <w:szCs w:val="17"/>
          <w:color w:val="auto"/>
        </w:rPr>
      </w:pPr>
    </w:p>
    <w:p>
      <w:pPr>
        <w:ind w:left="1300" w:right="2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 and</w:t>
      </w:r>
    </w:p>
    <w:p>
      <w:pPr>
        <w:spacing w:after="0" w:line="211" w:lineRule="exact"/>
        <w:rPr>
          <w:rFonts w:ascii="Times New Roman" w:cs="Times New Roman" w:eastAsia="Times New Roman" w:hAnsi="Times New Roman"/>
          <w:sz w:val="18"/>
          <w:szCs w:val="18"/>
          <w:color w:val="auto"/>
        </w:rPr>
      </w:pPr>
    </w:p>
    <w:p>
      <w:pPr>
        <w:ind w:left="1300" w:hanging="644"/>
        <w:spacing w:after="0" w:line="24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and geopolitical developments, including inflationary pressures, interest rate fluctuations, military conflicts, such as the ongoing conflicts between Russia and Ukraine, the U.S. and Iran, and in the Middle East, capital market disruptions, disruptions of U.S. governmental agencies, whether from a future U.S. federal government shutdown or reduced resources, tariffs, trade protection measures, economic sanctions and related economic slowdowns or recessions, any of which could adversely affect our access to capital markets.</w:t>
      </w:r>
    </w:p>
    <w:p>
      <w:pPr>
        <w:spacing w:after="0" w:line="212"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Until such time, if ever, as we can generate substantial U.S. product revenues and collaboration royalties,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and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or our other ex-U.S. partners, or other similar arrangements with third parties, we may have to relinquish valuable rights to our technologies, future revenue streams or grant licenses on terms that may not be favorable to us. Similarly, adverse macroeconomic conditions and market volatility resulting from global and national economic developments, political unrest, military conflicts, such as the ongoing conflicts between Russia and Ukraine, the U.S. and Iran, and in the Middle East, inflationary pressures, disruptions in capital markets, changes in international trade relationships, changes in or the disruptions of U.S. governmental agencies, whether from a future U.S. federal government shutdown or reduced resources, new laws and regulations or amendments to existing laws and regulations in the U.S. and foreign countries, trade protection measures, economic sanctions and economic slowdowns or recessions, including as a result of heightened geopolitical tensions or increasing concerns regarding a potential global recession, or other factors could materially and adversely affect our ability to consummate an equity or debt financing on favorable terms or at all. If we are unable to raise additional funds through equity or permitted debt financings or through collaborations, strategic alliances or licensing arrangements or royalty-based financing arrangements when needed and on favorable terms, if at all,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the SEC rules.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President and Chief Executive Officer, who is our principal executive officer, and our Chief Financial Officer, who is our principal financial officer, as appropriate to allow timely decisions regarding required disclosure.</w:t>
      </w:r>
    </w:p>
    <w:p>
      <w:pPr>
        <w:spacing w:after="0" w:line="19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Company carried out the evaluation required by the Exchange Act Rules 13a-15(b) and 15d-15(b), under the supervision and with the participation of our management, including our Chief Executive Officer and Chief Financial Officer, of the effectiveness of our disclosure controls and procedures (as defined in the Exchange Act Rules 13a-15(e) and 15d-15(e)). Our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upon this evaluation, our Chief Executive Officer and Chief Financial Officer concluded that as of March 31, 2026, our disclosure controls and procedures were not effective due to a material weakness in our internal control over financial reporting described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Identified Material Weakness in Internal Control over Financial Reporting</w:t>
      </w:r>
    </w:p>
    <w:p>
      <w:pPr>
        <w:spacing w:after="0" w:line="2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reported, in connection with the preparation of our Quarterly Report on Form 10-Q for the quarter ended June 30, 2025,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Chief Executive Officer and Chief Financial Officer concluded that a material weakness in our internal control over financial reporting existed related to the accounting for inventory held at a certain third-party contract manufacturing organization, and have further concluded that such material weakness had not been remediated as of March 31, 2026.</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 identified above, our management performed additional analyses as deemed necessary to ensure that our financial statements were prepared in accordance with generally accepted accounting principles in the United States of America, or U.S. GAAP. Notwithstanding the material weakness in our internal control over financial reporting, our management has concluded that the condensed financial statements and related notes thereto included in this Quarterly Report on Form 10-Q present fairly, in all material respects, our financial position, results of operations and cash flows for the periods presented in conformity with U.S.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Following identification of the material weakness disclosed above, and with oversight from the Audit Committee of our Board of Directors (the “Audit Committee”) and input from our management, we designed and implemented changes to our processes and controls to remediate the material weakness and to enhance our internal control over financial reporting, including enhanced controls related to inventory existence held at, and movements of inventory between, our third party contract manufacturing organizations. While we believe the steps taken to date and those planned for future implementation will improve the effectiveness of our internal control over financial reporting, we have not completed all remediation efforts. The material weakness cannot be considered remediated until applicable controls have operated for a sufficient period of time and management has concluded, through testing, that these controls are operating effectively. Accordingly, we will continue to monitor and evaluate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disclosed above, 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Quarterly Report on Form 10-Q and is incorporated by reference into this Item 1.</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those set forth in Part I, Item 1A in our Annual Report on Form 10-K for the fiscal year ended December 31, 2025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2025.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9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under the Credit Agreement with the lenders thereto may adversely affect our financial position or results of operations and our ability to raise additional capital which in turn may increase our vulnerability to adverse regulatory developments or economic or business downturns.</w:t>
      </w:r>
    </w:p>
    <w:p>
      <w:pPr>
        <w:spacing w:after="0" w:line="203"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On December 13, 2024, we entered into the Credit Agreement with GLAS USA LLC, as administrative agent, and Athyrium Opportunities IV Co-Invest 1 LP, HCR Stafford Fund II, L.P., HCR Potomac Fund II, L.P. and HCRX Investments HoldCo, L.P., as the initial lenders party thereto (the “Existing Credit Agreement”). On April 2, 2026 (the "Closing Date"), we entered into the First Amendment to Credit Agreement (the “Amendment”), amending the Credit Agreement. The loans provided under the Amendment bear the same terms as the outstanding term loans under the Existing Credit Agreement.</w:t>
      </w:r>
    </w:p>
    <w:p>
      <w:pPr>
        <w:spacing w:after="0" w:line="19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the Closing Date, the Company entered into a Royalty Purchase Agreement with Athyrium Opportunities IV Acquisition LP (the “Purchaser”). Pursuant to the Purchase Agreement, the Purchaser purchased for $50 million a portion of the royalties payable to the Company on net sales of Bempedoic Acid (as defined in the License and Collaboration Agreement) and any other Licensed Products (as defined in the License and Collaboration Agreement) in the Otsuka Territory (as defined in the License and Collaboration Agreement), and of the regulatory and commercial milestones payable, in each case, pursuant to the License and Collaboration Agreement dated as of April 17, 2020, between Otsuka Pharmaceutical Co., Ltd. and the Company, as amended. The Purchaser acquired 100% of the Receivables until such time as the Purchaser receives an aggregate amount equal to $100 million. Following receipt of such amount, 100% of all Receivables will revert to the Company.</w:t>
      </w:r>
    </w:p>
    <w:p>
      <w:pPr>
        <w:spacing w:after="0" w:line="21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Existing Credit Agreement provided for a $150.0 million term loan, or the Existing Loan, which was borrowed in full at the original closing on December 13, 2024. Proceeds from the Existing Loan were used to repay a portion of the outstanding obligations under the Company's existing $265.0 million aggregate principal amount 4.00% Convertible Senior Subordinated Notes due November 2025, or the 2025 Notes, and to pay fees and expenses in connection with the Credit Agreement. The Amendment, among other things, provides for the incurrence of additional term loans in an aggregate principal amount of $25 million which was used, among other things, to finance a portion of the acquisition of Corstasis. Amounts available under the Amendment were borrowed in full on the Closing Date. The Existing Loan, together with the loans under the Amendment, are collectively referred to herein as the “Loans”. See Note 9 "Debt" and Note 16 "Subsequent Events" in the notes to our financial statements included elsewhere in this Quarterly Report on Form 10-Q for a further discussion on the Credit Agreement and convertible notes.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Credit Agreement, as amended, could have important negative consequences to the holders of our securities. For example, a portion of our cash flow from operations will be needed to pay certain interest to the Lenders and will not be available to fund future operations.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Interest payments under the Credit Agreement, as amended, will increase our cash outflows. The Loans bear interest at an annual rate of 9.75% if paid in cash, and 11.75% if paid-in-kind. At our option, interest on the Loans may be paid-in-kind for the first four full fiscal quarters ending after the respective closing date. As we elected to have interest on the Existing Loan paid-in-kind for the quarter ended June 30, 2025 and for the quarter ended September 30, 2025, $9.1 million was added to the principal balance of the Existing Loan. The Credit Agreement, as amended, requires quarterly interest-only payments for the first four years after the Closing Date and, thereafter, the Loans will partially amortize in quarterly principal payments of 12.5%, with the outstanding balance to be repaid on the maturity date.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certain amounts when due would result in a default under the Credit Agreement, as amended, and result in foreclosure on certain of our assets which would have a material adverse effect.</w:t>
      </w:r>
    </w:p>
    <w:p>
      <w:pPr>
        <w:spacing w:after="0" w:line="218"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The Credit Agreement, as amended, contains a financial covenant to maintain minimum liquidity of $50.0 million. The Credit Agreement, as amended, contains affirmative and negative covenants customary for a senior secured loan. The negative covenants under the Credit Agreement, as amended, limit our ability and our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Credit Agreement, as amended, also contains certain customary events of default, including, but not limited to, a failure to comply with the covenants therein. If an event of default has occurred and continues beyond any applicable cure period, the administrative agent or the required lenders may accelerate all outstanding obligations under the Credit Agreement, as amended, and/or exercise any other remedies provided under the loan documents. Any declaration by the Lenders of an event of default under the Credit Agreement, as amended, could significantly harm our financial condition, business and prospects and could cause the price of our common stock to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acquisition of Corstasis, or those benefits may take longer to realize than expected.</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April 2, 2026, we completed the acquisition of Corstasis. The success of the acquisition will depend, in part, on our ability to effectively integrate Corstasis into our business, continue to commercialize Enbumyst, and realize anticipated growth opportunities and synergies. The integration process may be complex, costly and time-consuming, and could result in disruptions to our existing operations, diversion of management attention and potential difficulties in retaining key personnel, partners and other business relationships. There can be no assurance that we will realize the anticipated benefits of the acquisition within the expected time frame or at all.</w:t>
      </w:r>
    </w:p>
    <w:p>
      <w:pPr>
        <w:spacing w:after="0" w:line="20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As a result of the acquisition, we have assumed Corstasis’ liabilities and obligations, including legal, financial, regulatory and compliance matters, as well as post-approval regulatory requirements with respect to Enbumyst and obligations under supply, manufacturing and other material agreements. These obligations may require significant ongoing cost and investment, and if we have underestimated such costs or are unable to satisfy these obligations, our business, financial condition and results of operations could be adversely affected. In addition, we may be required to devote substantial resources to integration-related activities, which could cause us to forego or delay the pursuit of other opportunities.</w:t>
      </w:r>
    </w:p>
    <w:p>
      <w:pPr>
        <w:spacing w:after="0" w:line="222"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Further, the acquisition may expose us to unknown, contingent or other liabilities that we did not identify or fully assess prior to closing. Any such liabilities or problems could have an adverse effect on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Merger and the Merger Agreement</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Merger with Parent within the timeframe we anticipate or at all, which could have an adverse effect on our business, financial results and/or operations.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1, 2026, we entered into the Merger Agreement with Parent, and MergerCo, pursuant to which, subject to the terms and conditions thereof, MergerCo will merge with and into the Company with the Company continuing as the surviving corporation and a wholly owned subsidiary of Parent (the “Merger”). Subject to the terms and conditions set forth in the Merger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Agreement, at the Effective Time, each share of Company Common Stock issued and outstanding immediately prior to the Effective Time (other than shares of Company Common Stock (i) owned by Parent or MergerCo, (ii) owned by the Company as treasury shares or (iii) held by any person who properly exercises appraisal rights under Delaware law), will be converted into the right to receive (A) the Per Share Cash Consideration, plus (B) one contractual contingent value right per share, representing the right to participate in contingent payments in cash, without interest, upon the achievement of certain milestones as set forth in the CVR Agreement. Each CVR will entitle the holder to its pro rata share, in cash, of contingent payments of up to an additional $100.0 million in the aggregate, without interest and less any applicable tax withholding, upon the achievement of specified milestones during the applicable milestone periods as set forth in the CVR Agreement. Consummation of the Merger is subject to the approval of the Company’s stockholders and other customary closing conditions. The Merger is expected to close in the third quarter of 2026.</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the Merger is not completed within the expected timeframe or at all, we may be subject to a number of material risks in addition to the risks of continuing to operate our business. The price of our common stock may decline to the extent that current market prices of our common stock reflect a market assumption that the Merger will be completed on a timely basis. We could be required to pay Parent a termination fee in the amount of $34,154,539 if the Merger Agreement is terminated under specified circumstances, including termination by the Company in order to enter into an acquisition agreement providing for a Superior Proposal (as defined in the Merger Agreement). The failure to complete the transaction also may result in negative publicity and negatively affect our relationship with our stockholders, employees, strategic partners and suppliers. We may also be required to devote significant time and resources to litigation related to any failure to complete the Merger or related to any enforcement proceeding commenced against us to perform our obligations under the Merger Agreement.</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complete the Merger is subject to certain closing conditions and the receipt of consents and approvals from our stockholders and government entities that may impose conditions that could adversely affect us or cause the Merger to be abandoned.</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Completion of the Merger is subject to certain closing conditions, including, among other things, the adoption of the Merger Agreement by the Company’s stockholders and the expiration or early termination of the applicable waiting period (and any extension thereof) under the Hart-Scott-Rodino Antitrust Improvements Act of 1976, as amended (the “HSR Act”), and the absence of governmental injunctions or other legal restraints prohibiting the Merger. If we are unable to obtain the requisite stockholder approval or the government imposes any injunctions or restraints on the Merger, we will not be able to close the Merger. Further, the granting of regulatory approvals pursuant to the HSR Act could involve the imposition of additional conditions on the closing of the Merger. The imposition of such conditions or the failure or delay to obtain regulatory approvals could have the effect of delaying completion of the Merger or of imposing additional costs or limitations on us or may result in the failure to close the Merger.</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obligation of Parent to consummate the Merger is conditioned upon, among other things, the accuracy of our representations and warranties (subject to certain materiality exceptions), and our compliance in all material respects with our obligations under the Merger Agreement. We cannot provide any assurance that the conditions to the consummation of the Merger will be satisfied or waived, or will not result in the abandonment or delay of the Merger.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we are subject to certain restrictions on our business activities.</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While the Merger Agreement with Parent is in effect, we are subject to customary restrictions on our business activities, generally requiring us to conduct our business in the ordinary course, consistent with past practice, and subjecting us to a variety of specified limitations absent Parent’s prior consent. These limitations include, among other things, restrictions on our ability to hire employees, sell, transfer, lease, license, dispose or assign tangible assets exceeding certain dollar thresholds or Company intellectual property (subject to certain exceptions), make investments, enter into, modify or terminate material contracts or employee plans (subject to certain exceptions), repurchase or issue securities, pay dividends, make capital expenditures exceeding certain dollar thresholds, commence or settle any legal proceeding (subject to certain exceptions), amend our organizational documents or incur indebtedness. These restrictions could prevent us from pursuing strategic business opportunities, taking actions with respect to our business that we may consider advantageous and responding effectively and/or timely to competitive pressures and industry developments, and may as a result materially and adversely affect our business, results of operations and financial condition.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our ability to pursue alternatives to the Merger.</w:t>
      </w:r>
    </w:p>
    <w:p>
      <w:pPr>
        <w:spacing w:after="0" w:line="2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us to enter into alternative transactions. As is typical for transactions like the Merger, the Merger Agreement contains certain provisions that restrict our ability to, among other things, initiate, solicit, cause or knowingly encourage (including by way of furnishing non-public information) or otherwise knowingly assist or knowingly facilitate the submission of inquiries regarding, or the</w:t>
      </w:r>
    </w:p>
    <w:p>
      <w:pPr>
        <w:ind w:right="320"/>
        <w:spacing w:after="0" w:line="260" w:lineRule="auto"/>
        <w:rPr>
          <w:sz w:val="20"/>
          <w:szCs w:val="20"/>
          <w:color w:val="auto"/>
        </w:rPr>
      </w:pPr>
      <w:r>
        <w:rPr>
          <w:rFonts w:ascii="Times New Roman" w:cs="Times New Roman" w:eastAsia="Times New Roman" w:hAnsi="Times New Roman"/>
          <w:sz w:val="18"/>
          <w:szCs w:val="18"/>
          <w:color w:val="auto"/>
        </w:rPr>
        <w:t>making of any proposal or offer that constitutes a Takeover Proposal or Potential Takeover Proposal (as defined in the Merger Agreement). The Merger Agreement also provides that our Board may only change their recommendation that the Company's stockholders approve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Merger in certain limited circumstances. These provisions could discourage third parties from making alternative proposals and, as a result, may limit our ability to pursue potentially more favorable transactions.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certain instances, the Merger Agreement requires us to pay a termination fee to Parent, which could require us to use available cash that would have otherwise been available for general corporate purposes.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terms of the Merger Agreement, we may be required to pay Parent a termination fee in the amount of $34,154,539 if the Merger Agreement is terminated under specific circumstances described in the Merger Agreement, including, but not limited to, in connection with a change in the recommendation of our Board or a termination of the Merger Agreement by us to enter into an acquisition agreement providing for a Superior Proposal (as defined in the Merger Agreement). If the Merger Agreement is terminated under such circumstances, the termination fee we may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Company Common Stock.</w:t>
      </w:r>
    </w:p>
    <w:p>
      <w:pPr>
        <w:spacing w:after="0" w:line="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have incurred direct and indirect costs as a result of the Merger and we may incur additional direct and indirect costs whether or not the Merger is consummated.</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incurred significant non-recurring costs in connection with the Merger Agreement. These costs include legal, financial advisory, accounting, consulting and other professional fees, as well as regulatory filing fees and other transaction-related expenses. We have incurred these costs and expect that we will continue to incur additional costs whether or not the Merger is consummated. In addition, if we terminate the Merger Agreement or the termination date passes and the Merger has not been effected, we will have incurred substantial costs from the Merger that we will not be able to recover, and we may incur further costs before the Merger is consummated, and such expenses could have an adverse impact on our business, financial results and operations.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Stockholder litigation could prevent or delay the completion of the Merger or otherwise negatively impact our business, financial condition and results of operations.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Stockholders of the Company may file lawsuits against the Company and/or the directors and officers of the Company in connection with the Merger. One of the conditions to the closing is that no judgment enacted, promulgated, issued, entered, amended or enforced by any Governmental Authority (as defined in the Merger Agreement) of competent jurisdiction or any applicable law shall be in effect enjoining, restraining or otherwise making illegal, preventing or prohibiting the consummation of the Merger. If any plaintiff was successful in obtaining an injunction prohibiting us from completing the Merger, then such injunction may delay or prevent the effectiveness of the Merger and could result in significant costs to us, including any cost associated with the indemnification of directors and officers. We may incur costs relating to the defense or settlement of any stockholder lawsuits filed in connection with the Merger. Stockholder lawsuits may divert management attention from management of our business or operations. Such litigation could have an adverse effect on our business, financial condition and results of operations and could prevent or delay the completion of the Merger.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not receive any payment on the CVR and the CVR may expire valueless.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holders of the CVRs will include (i) holders of shares of Company Common Stock that are canceled and converted into the right to receive the Merger Consideration pursuant to the Merger Agreement, (ii) holders of Company RSUs and Company Stock Options that are canceled and converted into the right to receive the consideration specified above upon consummation of the Merger, (iii) holders of outstanding warrants of the Company that elect to receive the Merger Consideration upon exercise following the Closing pursuant to the terms of the applicable warrant, and (iv) holders of the Company’s outstanding convertible notes that convert such convertible notes following the Closing pursuant to the terms of the related indenture (each as defined in the Merger Agreement). Each CVR will represent the right of such holders of the CVRs to participate in up to two cash payments, without interest and less any applicable tax withholding, contingent upon the achievement of certain milestones during the applicable milestone periods as described below:</w:t>
      </w:r>
    </w:p>
    <w:p>
      <w:pPr>
        <w:spacing w:after="0" w:line="230" w:lineRule="exact"/>
        <w:rPr>
          <w:sz w:val="20"/>
          <w:szCs w:val="20"/>
          <w:color w:val="auto"/>
        </w:rPr>
      </w:pPr>
    </w:p>
    <w:p>
      <w:pPr>
        <w:ind w:left="660" w:right="20" w:hanging="328"/>
        <w:spacing w:after="0" w:line="24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CVRs will be entitled to participate in an aggregate contingent cash payment of up to $40 million if annual Net Sales (as defined in the CVR Agreement) of certain products containing bempedoic acid (including NEXLETOL® and NEXLIZET®) in the United States during the period from January 1, 2027 through December 31, 2027 exceed $300 million. The aggregate milestone payment amount will be: (i) $40.0 million if annual Net Sales of such products are equal to or greater than $350.0 million; (ii) an amount between $0 and $40.0 million, determined by linear interpolation, if annual Net Sales of such products exceed $300.0 million but are less than $350.0 million; and (iii) $0 if annual Net Sales of such products are equal to or less than $300.0 million. Any such aggregate milestone payment amount, to the extent achieved, will be divided among the CVRs outstanding at the close of business on the date of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milestone achievement notice to determine the applicable milestone payment per CVR, in each case subject to the terms and conditions set forth in the CVR Agreement.</w:t>
      </w:r>
    </w:p>
    <w:p>
      <w:pPr>
        <w:spacing w:after="0" w:line="203" w:lineRule="exact"/>
        <w:rPr>
          <w:sz w:val="20"/>
          <w:szCs w:val="20"/>
          <w:color w:val="auto"/>
        </w:rPr>
      </w:pPr>
    </w:p>
    <w:p>
      <w:pPr>
        <w:ind w:left="660" w:right="20" w:hanging="328"/>
        <w:spacing w:after="0" w:line="24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CVRs also will be entitled to participate in an aggregate contingent cash payment of $60 million if annual Net Sales (as defined in the CVR Agreement) of certain products containing bumetanide (including ENBUMYST®) in the United States equal or exceed $160.0 million in any single calendar year during the period commencing on (and including) the Effective Time and ending on December 31, 2030. Any such aggregate milestone payment amount, if achieved, will be divided among the CVRs outstanding at the close of business on the date of the milestone achievement notice to determine the applicable milestone payment per CVR, in each case subject to the terms and conditions set forth in the CVR Agreement.</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Parent and the Company will be required to use Diligent Efforts (as defined in the CVR Agreement) to achieve each milestone, and the applicable milestone payment for each of the two milestones shall only be paid once per milestone, if at all, subject to achievement of the applicable milestone in accordance with the CVR Agreement. Milestone payments to holders of CVRs issued in respect of certain out-of-the-money options will be subject to additional reduction mechanics in accordance with the CVR Agreement.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can be no assurance any payments will be made with respect to the CVRs. The CVRs will not be transferable, except in the limited circumstances specified in the CVR Agreement, will not have any voting or dividend rights, and will not represent any equity or ownership interest in us or any constituent party to the Merger Agreement. Accordingly, the right of any of our stockholders to receive any future payment on or derive any value from the CVRs will be contingent solely upon the occurrence of certain events, as outlined in the CVR Agreement, and if no such events are achieved for any reason within the time periods specified in the CVR Agreement, no payments will be made under the CVRs, and the CVRs will expire valueless.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 under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8"/>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gridSpan w:val="28"/>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8"/>
            <w:vMerge w:val="continue"/>
          </w:tcPr>
          <w:p>
            <w:pPr>
              <w:spacing w:after="0"/>
              <w:rPr>
                <w:sz w:val="17"/>
                <w:szCs w:val="17"/>
                <w:color w:val="auto"/>
              </w:rPr>
            </w:pP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r>
              <w:rPr>
                <w:rFonts w:ascii="Times New Roman" w:cs="Times New Roman" w:eastAsia="Times New Roman" w:hAnsi="Times New Roman"/>
                <w:sz w:val="16"/>
                <w:szCs w:val="16"/>
                <w:color w:val="0000FF"/>
                <w:w w:val="99"/>
              </w:rPr>
              <w:t>2.</w:t>
            </w:r>
            <w:hyperlink r:id="rId57">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Agreement and Plan of Merger, dated March 2, 2026, by and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2.1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 2026</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among Cirrus Transaction Subsidiary, Inc., the Registrant,</w:t>
              </w:r>
            </w:hyperlink>
          </w:p>
        </w:tc>
        <w:tc>
          <w:tcPr>
            <w:tcW w:w="600" w:type="dxa"/>
            <w:vAlign w:val="bottom"/>
            <w:gridSpan w:val="18"/>
          </w:tcPr>
          <w:p>
            <w:pPr>
              <w:spacing w:after="0" w:line="142" w:lineRule="exact"/>
              <w:rPr>
                <w:rFonts w:ascii="Times New Roman" w:cs="Times New Roman" w:eastAsia="Times New Roman" w:hAnsi="Times New Roman"/>
                <w:sz w:val="16"/>
                <w:szCs w:val="16"/>
                <w:color w:val="0000FF"/>
                <w:w w:val="98"/>
              </w:rPr>
            </w:pPr>
            <w:hyperlink r:id="rId57">
              <w:r>
                <w:rPr>
                  <w:rFonts w:ascii="Times New Roman" w:cs="Times New Roman" w:eastAsia="Times New Roman" w:hAnsi="Times New Roman"/>
                  <w:sz w:val="16"/>
                  <w:szCs w:val="16"/>
                  <w:color w:val="0000FF"/>
                  <w:w w:val="98"/>
                </w:rPr>
                <w:t>Corstasis</w:t>
              </w:r>
            </w:hyperlink>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Therapeutics Inc., Shareholder Representative Services LLC,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Benjamin Esque.</w:t>
              </w:r>
            </w:hyperlink>
          </w:p>
        </w:tc>
        <w:tc>
          <w:tcPr>
            <w:tcW w:w="31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5"/>
          </w:tcPr>
          <w:p>
            <w:pPr>
              <w:jc w:val="center"/>
              <w:ind w:right="500"/>
              <w:spacing w:after="0"/>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2.</w:t>
              </w:r>
              <w:r>
                <w:rPr>
                  <w:rFonts w:ascii="Times New Roman" w:cs="Times New Roman" w:eastAsia="Times New Roman" w:hAnsi="Times New Roman"/>
                  <w:sz w:val="16"/>
                  <w:szCs w:val="16"/>
                  <w:u w:val="single" w:color="auto"/>
                  <w:color w:val="0000FF"/>
                  <w:w w:val="99"/>
                </w:rPr>
                <w:t>2†</w:t>
              </w:r>
            </w:hyperlink>
          </w:p>
        </w:tc>
        <w:tc>
          <w:tcPr>
            <w:tcW w:w="4560" w:type="dxa"/>
            <w:vAlign w:val="bottom"/>
            <w:gridSpan w:val="34"/>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Agreement and Plan of Merger, dated as of May 1, 2026, by and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2.1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 2026</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among Essence Parent Inc., Essence MergerCo Inc. and Esperion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Therapeutics, Inc.</w:t>
              </w:r>
            </w:hyperlink>
          </w:p>
        </w:tc>
        <w:tc>
          <w:tcPr>
            <w:tcW w:w="3060" w:type="dxa"/>
            <w:vAlign w:val="bottom"/>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Certificate of Incorporation of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3.2</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Registrant</w:t>
              </w:r>
            </w:hyperlink>
          </w:p>
        </w:tc>
        <w:tc>
          <w:tcPr>
            <w:tcW w:w="308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hyperlink r:id="rId6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Certificate of Amendment to Amended and Restated Certificate of</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Incorporation of the Registrant</w:t>
              </w:r>
            </w:hyperlink>
          </w:p>
        </w:tc>
        <w:tc>
          <w:tcPr>
            <w:tcW w:w="234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hyperlink r:id="rId6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Certificate of Validation relating to Certificate of Amendment to the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Amended and Restated Certificate of Incorporation of the</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Registrant dated May 26, 2022</w:t>
              </w:r>
            </w:hyperlink>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hyperlink r:id="rId6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Certificate of Amendment No. 2 to Amended and Restated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15,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Certificate of Incorporation of the Registrant</w:t>
              </w:r>
            </w:hyperlink>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hyperlink r:id="rId6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5</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Second Amended and Restated Bylaws of the Registrant dated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10-Q</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4,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April 29, 2021</w:t>
              </w:r>
            </w:hyperlink>
          </w:p>
        </w:tc>
        <w:tc>
          <w:tcPr>
            <w:tcW w:w="3100" w:type="dxa"/>
            <w:vAlign w:val="bottom"/>
            <w:tcBorders>
              <w:top w:val="single" w:sz="8" w:color="0000FF"/>
            </w:tcBorders>
            <w:gridSpan w:val="1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5"/>
          </w:tcPr>
          <w:p>
            <w:pPr>
              <w:jc w:val="center"/>
              <w:ind w:left="360"/>
              <w:spacing w:after="0"/>
              <w:rPr>
                <w:rFonts w:ascii="Times New Roman" w:cs="Times New Roman" w:eastAsia="Times New Roman" w:hAnsi="Times New Roman"/>
                <w:sz w:val="16"/>
                <w:szCs w:val="16"/>
                <w:color w:val="0000FF"/>
                <w:w w:val="99"/>
              </w:rPr>
            </w:pPr>
            <w:hyperlink r:id="rId64">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34"/>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Specimen Common Stock Certificate</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4.1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840" w:type="dxa"/>
            <w:vAlign w:val="bottom"/>
            <w:gridSpan w:val="7"/>
          </w:tcPr>
          <w:p>
            <w:pPr>
              <w:jc w:val="center"/>
              <w:ind w:right="44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p>
        </w:tc>
        <w:tc>
          <w:tcPr>
            <w:tcW w:w="4560" w:type="dxa"/>
            <w:vAlign w:val="bottom"/>
            <w:gridSpan w:val="34"/>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First Amendment to Credit Agreement, dated as of April 2, 2026,</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10.1</w:t>
            </w:r>
          </w:p>
        </w:tc>
        <w:tc>
          <w:tcPr>
            <w:tcW w:w="1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April 2, 2026</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by and among the Registrant, as the borrower, the lenders party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2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thereto and GLAS USA LLC and GLAS Americans LLC</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collectively as the administrative agent.</w:t>
              </w:r>
            </w:hyperlink>
          </w:p>
        </w:tc>
        <w:tc>
          <w:tcPr>
            <w:tcW w:w="1160" w:type="dxa"/>
            <w:vAlign w:val="bottom"/>
            <w:tcBorders>
              <w:top w:val="single" w:sz="8" w:color="0000FF"/>
            </w:tcBorders>
            <w:gridSpan w:val="3"/>
          </w:tcPr>
          <w:p>
            <w:pPr>
              <w:spacing w:after="0"/>
              <w:rPr>
                <w:sz w:val="12"/>
                <w:szCs w:val="12"/>
                <w:color w:val="auto"/>
              </w:rPr>
            </w:pPr>
          </w:p>
        </w:tc>
        <w:tc>
          <w:tcPr>
            <w:tcW w:w="400" w:type="dxa"/>
            <w:vAlign w:val="bottom"/>
            <w:gridSpan w:val="6"/>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840" w:type="dxa"/>
            <w:vAlign w:val="bottom"/>
            <w:gridSpan w:val="7"/>
          </w:tcPr>
          <w:p>
            <w:pPr>
              <w:jc w:val="center"/>
              <w:ind w:right="44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p>
        </w:tc>
        <w:tc>
          <w:tcPr>
            <w:tcW w:w="4560" w:type="dxa"/>
            <w:vAlign w:val="bottom"/>
            <w:gridSpan w:val="34"/>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Royalty Purchase Agreement, dated as of April 2, 2026, by and</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10.3</w:t>
            </w:r>
          </w:p>
        </w:tc>
        <w:tc>
          <w:tcPr>
            <w:tcW w:w="1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April 2, 2026</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w w:val="97"/>
              </w:rPr>
            </w:pPr>
            <w:hyperlink r:id="rId66">
              <w:r>
                <w:rPr>
                  <w:rFonts w:ascii="Times New Roman" w:cs="Times New Roman" w:eastAsia="Times New Roman" w:hAnsi="Times New Roman"/>
                  <w:sz w:val="16"/>
                  <w:szCs w:val="16"/>
                  <w:color w:val="0000FF"/>
                  <w:w w:val="97"/>
                </w:rPr>
                <w:t>among the Registrant and Athyrium Opportunities IV Acquisition</w:t>
              </w:r>
            </w:hyperlink>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40" w:type="dxa"/>
            <w:vAlign w:val="bottom"/>
            <w:gridSpan w:val="28"/>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LP.+</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7"/>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300" w:type="dxa"/>
            <w:vAlign w:val="bottom"/>
            <w:tcBorders>
              <w:top w:val="single" w:sz="8" w:color="0000FF"/>
              <w:bottom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20" w:type="dxa"/>
            <w:vAlign w:val="bottom"/>
            <w:gridSpan w:val="27"/>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720" w:type="dxa"/>
            <w:vAlign w:val="bottom"/>
            <w:gridSpan w:val="7"/>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60" w:type="dxa"/>
            <w:vAlign w:val="bottom"/>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20" w:type="dxa"/>
            <w:vAlign w:val="bottom"/>
            <w:tcBorders>
              <w:top w:val="single" w:sz="8" w:color="0000FF"/>
            </w:tcBorders>
            <w:gridSpan w:val="27"/>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 Financial</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440" w:type="dxa"/>
            <w:vAlign w:val="bottom"/>
            <w:tcBorders>
              <w:top w:val="single" w:sz="8" w:color="0000FF"/>
            </w:tcBorders>
            <w:gridSpan w:val="33"/>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300" w:type="dxa"/>
            <w:vAlign w:val="bottom"/>
            <w:tcBorders>
              <w:top w:val="single" w:sz="8" w:color="0000FF"/>
            </w:tcBorders>
            <w:gridSpan w:val="18"/>
          </w:tcPr>
          <w:p>
            <w:pPr>
              <w:spacing w:after="0"/>
              <w:rPr>
                <w:sz w:val="12"/>
                <w:szCs w:val="12"/>
                <w:color w:val="auto"/>
              </w:rPr>
            </w:pPr>
          </w:p>
        </w:tc>
        <w:tc>
          <w:tcPr>
            <w:tcW w:w="180" w:type="dxa"/>
            <w:vAlign w:val="bottom"/>
            <w:gridSpan w:val="4"/>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101.LAB*</w:t>
            </w:r>
          </w:p>
        </w:tc>
        <w:tc>
          <w:tcPr>
            <w:tcW w:w="9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64"/>
        </w:trPr>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101.PRE*</w:t>
            </w:r>
          </w:p>
        </w:tc>
        <w:tc>
          <w:tcPr>
            <w:tcW w:w="9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364"/>
        </w:trPr>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101.DEF*</w:t>
            </w:r>
          </w:p>
        </w:tc>
        <w:tc>
          <w:tcPr>
            <w:tcW w:w="9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418"/>
        </w:trPr>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104*</w:t>
            </w:r>
          </w:p>
        </w:tc>
        <w:tc>
          <w:tcPr>
            <w:tcW w:w="9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271"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900" w:hanging="325"/>
        <w:spacing w:after="0" w:line="266" w:lineRule="auto"/>
        <w:tabs>
          <w:tab w:leader="none" w:pos="8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3" w:lineRule="exact"/>
        <w:rPr>
          <w:sz w:val="20"/>
          <w:szCs w:val="20"/>
          <w:color w:val="auto"/>
        </w:rPr>
      </w:pPr>
    </w:p>
    <w:p>
      <w:pPr>
        <w:ind w:left="900" w:right="120" w:hanging="325"/>
        <w:spacing w:after="0" w:line="258" w:lineRule="auto"/>
        <w:tabs>
          <w:tab w:leader="none" w:pos="7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similar attachments to this exhibit have been omitted pursuant to Items 601(a)(5) and 601(b)(ii) of Regulation S-K. The Registrant agrees to furnish copies of any such schedules or similar attachments to the Commission upon request. In addition, certain provisions of this exhibit have been redacted because the Registrant customarily treats the redacted information as private or confidential and the omitted information is not material. The Registrant agrees to promptly provide to the Commission on a supplemental basis an unredacted copy of the exhibit.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76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2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3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2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30"/>
        </w:trPr>
        <w:tc>
          <w:tcPr>
            <w:tcW w:w="3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21"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Benjamin Halladay, certify that:</w:t>
      </w:r>
    </w:p>
    <w:p>
      <w:pPr>
        <w:spacing w:after="0" w:line="22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30"/>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March 31, 2026,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526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Halladay</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57" Type="http://schemas.openxmlformats.org/officeDocument/2006/relationships/hyperlink" Target="https://www.sec.gov/Archives/edgar/data/1434868/000162828026013552/exhibit21.htm" TargetMode="External"/><Relationship Id="rId58" Type="http://schemas.openxmlformats.org/officeDocument/2006/relationships/hyperlink" Target="https://www.sec.gov/Archives/edgar/data/1434868/000110465926053482/tm2613340d1_ex2-1.htm" TargetMode="External"/><Relationship Id="rId59" Type="http://schemas.openxmlformats.org/officeDocument/2006/relationships/hyperlink" Target="https://www.sec.gov/Archives/edgar/data/1434868/000104746913006896/a2215641zex-3_2.htm" TargetMode="External"/><Relationship Id="rId60" Type="http://schemas.openxmlformats.org/officeDocument/2006/relationships/hyperlink" Target="https://www.sec.gov/Archives/edgar/data/1434868/000162828022015488/exhibit31.htm" TargetMode="External"/><Relationship Id="rId61" Type="http://schemas.openxmlformats.org/officeDocument/2006/relationships/hyperlink" Target="https://www.sec.gov/Archives/edgar/data/1434868/000162828022025245/exhibit31certificateofvali.htm" TargetMode="External"/><Relationship Id="rId62" Type="http://schemas.openxmlformats.org/officeDocument/2006/relationships/hyperlink" Target="https://www.sec.gov/Archives/edgar/data/1434868/000162828023022276/exhibit3162023.htm" TargetMode="External"/><Relationship Id="rId63" Type="http://schemas.openxmlformats.org/officeDocument/2006/relationships/hyperlink" Target="https://www.sec.gov/Archives/edgar/data/1434868/000162828021008918/ex31-secondamendedandresta.htm" TargetMode="External"/><Relationship Id="rId64" Type="http://schemas.openxmlformats.org/officeDocument/2006/relationships/hyperlink" Target="https://www.sec.gov/Archives/edgar/data/1434868/000104746913006896/a2215641zex-4_1.htm" TargetMode="External"/><Relationship Id="rId65" Type="http://schemas.openxmlformats.org/officeDocument/2006/relationships/hyperlink" Target="https://www.sec.gov/Archives/edgar/data/1434868/000162828026023196/esperion-amendmentno1tocre.htm" TargetMode="External"/><Relationship Id="rId66" Type="http://schemas.openxmlformats.org/officeDocument/2006/relationships/hyperlink" Target="https://www.sec.gov/Archives/edgar/data/1434868/000162828026023196/esperion-athyriumxroyalty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2026-05-08T15:23:30Z</dcterms:created>
  <dcterms:modified xsi:type="dcterms:W3CDTF">2026-05-08T15:23:30Z</dcterms:modified>
</cp:coreProperties>
</file>