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001-35986</w:t>
      </w:r>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Esperion Therapeutics,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26-1870780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3891 Ranchero Drive, Suite 150 </w:t>
      </w:r>
    </w:p>
    <w:p>
      <w:pPr>
        <w:pStyle w:val="TextBody"/>
        <w:bidi w:val="0"/>
        <w:spacing w:lineRule="auto" w:line="288" w:before="0" w:after="0"/>
        <w:jc w:val="center"/>
        <w:rPr/>
      </w:pPr>
      <w:r>
        <w:rPr>
          <w:rFonts w:ascii="Times New Roman;serif" w:hAnsi="Times New Roman;serif"/>
          <w:b/>
          <w:color w:val="000000"/>
          <w:sz w:val="18"/>
        </w:rPr>
        <w:t>Ann Arbor,</w:t>
      </w:r>
      <w:r>
        <w:rPr>
          <w:color w:val="000000"/>
        </w:rPr>
        <w:t xml:space="preserve"> </w:t>
      </w:r>
      <w:r>
        <w:rPr>
          <w:rFonts w:ascii="Times New Roman;serif" w:hAnsi="Times New Roman;serif"/>
          <w:b/>
          <w:color w:val="000000"/>
          <w:sz w:val="18"/>
        </w:rPr>
        <w:t>MI</w:t>
      </w:r>
      <w:r>
        <w:rPr>
          <w:color w:val="000000"/>
        </w:rPr>
        <w:t xml:space="preserve"> </w:t>
      </w:r>
      <w:r>
        <w:rPr>
          <w:rFonts w:ascii="Times New Roman;serif" w:hAnsi="Times New Roman;serif"/>
          <w:b/>
          <w:color w:val="000000"/>
          <w:sz w:val="18"/>
        </w:rPr>
        <w:t>48108</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 (Zip Code)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pPr>
      <w:r>
        <w:rPr>
          <w:rFonts w:ascii="Times New Roman;serif" w:hAnsi="Times New Roman;serif"/>
          <w:b/>
          <w:color w:val="000000"/>
          <w:sz w:val="18"/>
        </w:rPr>
        <w:t>(734)</w:t>
      </w:r>
      <w:r>
        <w:rPr>
          <w:color w:val="000000"/>
        </w:rPr>
        <w:t xml:space="preserve"> </w:t>
      </w:r>
      <w:r>
        <w:rPr>
          <w:rFonts w:ascii="Times New Roman;serif" w:hAnsi="Times New Roman;serif"/>
          <w:b/>
          <w:color w:val="000000"/>
          <w:sz w:val="18"/>
        </w:rPr>
        <w:t>887-3903</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7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84"/>
        <w:gridCol w:w="484"/>
        <w:gridCol w:w="486"/>
        <w:gridCol w:w="109"/>
        <w:gridCol w:w="109"/>
        <w:gridCol w:w="109"/>
        <w:gridCol w:w="970"/>
        <w:gridCol w:w="970"/>
        <w:gridCol w:w="1374"/>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ESPR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NASDAQ</w:t>
            </w:r>
            <w:r>
              <w:rPr>
                <w:color w:val="000000"/>
              </w:rPr>
              <w:t xml:space="preserve"> </w:t>
            </w:r>
            <w:r>
              <w:rPr>
                <w:rFonts w:ascii="Times New Roman;serif" w:hAnsi="Times New Roman;serif"/>
                <w:b w:val="false"/>
                <w:color w:val="000000"/>
                <w:sz w:val="16"/>
              </w:rPr>
              <w:t>Stock Market LLC</w:t>
            </w:r>
          </w:p>
        </w:tc>
      </w:tr>
    </w:tbl>
    <w:p>
      <w:pPr>
        <w:pStyle w:val="TextBody"/>
        <w:bidi w:val="0"/>
        <w:spacing w:lineRule="auto" w:line="288" w:before="0" w:after="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9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98"/>
        <w:gridCol w:w="698"/>
        <w:gridCol w:w="70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Emerging growth company</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October 31, 2025, there were 239,063,437 shares of the registrant’s Common Stock,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59790"/>
                <wp:effectExtent l="0" t="0" r="0" b="0"/>
                <wp:wrapNone/>
                <wp:docPr id="1" name="Frame1"/>
                <a:graphic xmlns:a="http://schemas.openxmlformats.org/drawingml/2006/main">
                  <a:graphicData uri="http://schemas.microsoft.com/office/word/2010/wordprocessingShape">
                    <wps:wsp>
                      <wps:cNvSpPr txBox="1"/>
                      <wps:spPr>
                        <a:xfrm>
                          <a:off x="0" y="0"/>
                          <a:ext cx="6480175" cy="859790"/>
                        </a:xfrm>
                        <a:prstGeom prst="rect"/>
                        <a:solidFill>
                          <a:srgbClr val="FFFFFF"/>
                        </a:solidFill>
                      </wps:spPr>
                      <wps:txbx>
                        <w:txbxContent>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Esperion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193"/>
        <w:gridCol w:w="2630"/>
        <w:gridCol w:w="2607"/>
        <w:gridCol w:w="514"/>
        <w:gridCol w:w="514"/>
        <w:gridCol w:w="747"/>
      </w:tblGrid>
      <w:tr>
        <w:trPr/>
        <w:tc>
          <w:tcPr>
            <w:tcW w:w="3193"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25d1d705df31423db087005ea18f8575_10">
              <w:r>
                <w:rPr>
                  <w:rStyle w:val="InternetLink"/>
                  <w:rFonts w:ascii="Times New Roman;serif" w:hAnsi="Times New Roman;serif"/>
                  <w:b/>
                  <w:color w:val="0000FF"/>
                  <w:sz w:val="20"/>
                  <w:u w:val="single"/>
                </w:rPr>
                <w:t>PART I — FINANCIAL INFORMATION</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3">
              <w:r>
                <w:rPr>
                  <w:rStyle w:val="InternetLink"/>
                  <w:rFonts w:ascii="Times New Roman;serif" w:hAnsi="Times New Roman;serif"/>
                  <w:b w:val="false"/>
                  <w:color w:val="0000FF"/>
                  <w:sz w:val="20"/>
                  <w:u w:val="single"/>
                </w:rPr>
                <w:t>Item 1. Financial Statements</w:t>
              </w:r>
            </w:hyperlink>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6">
              <w:r>
                <w:rPr>
                  <w:rStyle w:val="InternetLink"/>
                  <w:rFonts w:ascii="Times New Roman;serif" w:hAnsi="Times New Roman;serif"/>
                  <w:b w:val="false"/>
                  <w:color w:val="000080"/>
                  <w:sz w:val="20"/>
                  <w:u w:val="single"/>
                </w:rPr>
                <w:t xml:space="preserve">Condensed Balance Sheets at </w:t>
              </w:r>
            </w:hyperlink>
            <w:hyperlink w:anchor="i25d1d705df31423db087005ea18f8575_16">
              <w:r>
                <w:rPr>
                  <w:rStyle w:val="InternetLink"/>
                  <w:rFonts w:ascii="Times New Roman;serif" w:hAnsi="Times New Roman;serif"/>
                  <w:b w:val="false"/>
                  <w:color w:val="000080"/>
                  <w:sz w:val="20"/>
                  <w:u w:val="single"/>
                </w:rPr>
                <w:t>September</w:t>
              </w:r>
            </w:hyperlink>
            <w:hyperlink w:anchor="i25d1d705df31423db087005ea18f8575_16">
              <w:r>
                <w:rPr>
                  <w:rStyle w:val="InternetLink"/>
                  <w:rFonts w:ascii="Times New Roman;serif" w:hAnsi="Times New Roman;serif"/>
                  <w:b w:val="false"/>
                  <w:color w:val="000080"/>
                  <w:sz w:val="20"/>
                  <w:u w:val="single"/>
                </w:rPr>
                <w:t xml:space="preserve"> 30, 2025 and December 31, 2024</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6">
              <w:r>
                <w:rPr>
                  <w:rStyle w:val="InternetLink"/>
                  <w:rFonts w:ascii="Times New Roman;serif" w:hAnsi="Times New Roman;serif"/>
                  <w:b w:val="false"/>
                  <w:color w:val="0000FF"/>
                  <w:sz w:val="20"/>
                  <w:u w:val="single"/>
                </w:rPr>
                <w:t>3</w:t>
              </w:r>
            </w:hyperlink>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9">
              <w:r>
                <w:rPr>
                  <w:rStyle w:val="InternetLink"/>
                  <w:rFonts w:ascii="Times New Roman;serif" w:hAnsi="Times New Roman;serif"/>
                  <w:b w:val="false"/>
                  <w:color w:val="000080"/>
                  <w:sz w:val="20"/>
                  <w:u w:val="single"/>
                </w:rPr>
                <w:t xml:space="preserve">Condensed Statements of Operations and Comprehensive (Loss) Income for the three and </w:t>
              </w:r>
            </w:hyperlink>
            <w:hyperlink w:anchor="i25d1d705df31423db087005ea18f8575_19">
              <w:r>
                <w:rPr>
                  <w:rStyle w:val="InternetLink"/>
                  <w:rFonts w:ascii="Times New Roman;serif" w:hAnsi="Times New Roman;serif"/>
                  <w:b w:val="false"/>
                  <w:color w:val="000080"/>
                  <w:sz w:val="20"/>
                  <w:u w:val="single"/>
                </w:rPr>
                <w:t>nine</w:t>
              </w:r>
            </w:hyperlink>
            <w:hyperlink w:anchor="i25d1d705df31423db087005ea18f8575_19">
              <w:r>
                <w:rPr>
                  <w:rStyle w:val="InternetLink"/>
                  <w:rFonts w:ascii="Times New Roman;serif" w:hAnsi="Times New Roman;serif"/>
                  <w:b w:val="false"/>
                  <w:color w:val="000080"/>
                  <w:sz w:val="20"/>
                  <w:u w:val="single"/>
                </w:rPr>
                <w:t xml:space="preserve"> month periods ended </w:t>
              </w:r>
            </w:hyperlink>
            <w:hyperlink w:anchor="i25d1d705df31423db087005ea18f8575_19">
              <w:r>
                <w:rPr>
                  <w:rStyle w:val="InternetLink"/>
                  <w:rFonts w:ascii="Times New Roman;serif" w:hAnsi="Times New Roman;serif"/>
                  <w:b w:val="false"/>
                  <w:color w:val="000080"/>
                  <w:sz w:val="20"/>
                  <w:u w:val="single"/>
                </w:rPr>
                <w:t>September</w:t>
              </w:r>
            </w:hyperlink>
            <w:hyperlink w:anchor="i25d1d705df31423db087005ea18f8575_19">
              <w:r>
                <w:rPr>
                  <w:rStyle w:val="InternetLink"/>
                  <w:rFonts w:ascii="Times New Roman;serif" w:hAnsi="Times New Roman;serif"/>
                  <w:b w:val="false"/>
                  <w:color w:val="000080"/>
                  <w:sz w:val="20"/>
                  <w:u w:val="single"/>
                </w:rPr>
                <w:t xml:space="preserve"> 30, 2025 and 2024</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9">
              <w:r>
                <w:rPr>
                  <w:rStyle w:val="InternetLink"/>
                  <w:rFonts w:ascii="Times New Roman;serif" w:hAnsi="Times New Roman;serif"/>
                  <w:b w:val="false"/>
                  <w:color w:val="0000FF"/>
                  <w:sz w:val="20"/>
                  <w:u w:val="single"/>
                </w:rPr>
                <w:t>4</w:t>
              </w:r>
            </w:hyperlink>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22">
              <w:r>
                <w:rPr>
                  <w:rStyle w:val="InternetLink"/>
                  <w:rFonts w:ascii="Times New Roman;serif" w:hAnsi="Times New Roman;serif"/>
                  <w:b w:val="false"/>
                  <w:color w:val="000080"/>
                  <w:sz w:val="20"/>
                  <w:u w:val="single"/>
                </w:rPr>
                <w:t xml:space="preserve">Condensed Statements of Stockholders’ Deficit for the three and </w:t>
              </w:r>
            </w:hyperlink>
            <w:hyperlink w:anchor="i25d1d705df31423db087005ea18f8575_22">
              <w:r>
                <w:rPr>
                  <w:rStyle w:val="InternetLink"/>
                  <w:rFonts w:ascii="Times New Roman;serif" w:hAnsi="Times New Roman;serif"/>
                  <w:b w:val="false"/>
                  <w:color w:val="000080"/>
                  <w:sz w:val="20"/>
                  <w:u w:val="single"/>
                </w:rPr>
                <w:t>nine</w:t>
              </w:r>
            </w:hyperlink>
            <w:hyperlink w:anchor="i25d1d705df31423db087005ea18f8575_22">
              <w:r>
                <w:rPr>
                  <w:rStyle w:val="InternetLink"/>
                  <w:rFonts w:ascii="Times New Roman;serif" w:hAnsi="Times New Roman;serif"/>
                  <w:b w:val="false"/>
                  <w:color w:val="000080"/>
                  <w:sz w:val="20"/>
                  <w:u w:val="single"/>
                </w:rPr>
                <w:t xml:space="preserve"> month periods ended </w:t>
              </w:r>
            </w:hyperlink>
            <w:hyperlink w:anchor="i25d1d705df31423db087005ea18f8575_22">
              <w:r>
                <w:rPr>
                  <w:rStyle w:val="InternetLink"/>
                  <w:rFonts w:ascii="Times New Roman;serif" w:hAnsi="Times New Roman;serif"/>
                  <w:b w:val="false"/>
                  <w:color w:val="000080"/>
                  <w:sz w:val="20"/>
                  <w:u w:val="single"/>
                </w:rPr>
                <w:t>September</w:t>
              </w:r>
            </w:hyperlink>
            <w:hyperlink w:anchor="i25d1d705df31423db087005ea18f8575_22">
              <w:r>
                <w:rPr>
                  <w:rStyle w:val="InternetLink"/>
                  <w:rFonts w:ascii="Times New Roman;serif" w:hAnsi="Times New Roman;serif"/>
                  <w:b w:val="false"/>
                  <w:color w:val="000080"/>
                  <w:sz w:val="20"/>
                  <w:u w:val="single"/>
                </w:rPr>
                <w:t xml:space="preserve"> 30, 2025 and 2024</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22">
              <w:r>
                <w:rPr>
                  <w:rStyle w:val="InternetLink"/>
                  <w:rFonts w:ascii="Times New Roman;serif" w:hAnsi="Times New Roman;serif"/>
                  <w:b w:val="false"/>
                  <w:color w:val="0000FF"/>
                  <w:sz w:val="20"/>
                  <w:u w:val="single"/>
                </w:rPr>
                <w:t>5</w:t>
              </w:r>
            </w:hyperlink>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25">
              <w:r>
                <w:rPr>
                  <w:rStyle w:val="InternetLink"/>
                  <w:rFonts w:ascii="Times New Roman;serif" w:hAnsi="Times New Roman;serif"/>
                  <w:b w:val="false"/>
                  <w:color w:val="000080"/>
                  <w:sz w:val="20"/>
                  <w:u w:val="single"/>
                </w:rPr>
                <w:t xml:space="preserve">Condensed Statements of Cash Flows for the </w:t>
              </w:r>
            </w:hyperlink>
            <w:hyperlink w:anchor="i25d1d705df31423db087005ea18f8575_25">
              <w:r>
                <w:rPr>
                  <w:rStyle w:val="InternetLink"/>
                  <w:rFonts w:ascii="Times New Roman;serif" w:hAnsi="Times New Roman;serif"/>
                  <w:b w:val="false"/>
                  <w:color w:val="000080"/>
                  <w:sz w:val="20"/>
                  <w:u w:val="single"/>
                </w:rPr>
                <w:t>nine</w:t>
              </w:r>
            </w:hyperlink>
            <w:hyperlink w:anchor="i25d1d705df31423db087005ea18f8575_25">
              <w:r>
                <w:rPr>
                  <w:rStyle w:val="InternetLink"/>
                  <w:rFonts w:ascii="Times New Roman;serif" w:hAnsi="Times New Roman;serif"/>
                  <w:b w:val="false"/>
                  <w:color w:val="000080"/>
                  <w:sz w:val="20"/>
                  <w:u w:val="single"/>
                </w:rPr>
                <w:t xml:space="preserve"> month periods ended </w:t>
              </w:r>
            </w:hyperlink>
            <w:hyperlink w:anchor="i25d1d705df31423db087005ea18f8575_25">
              <w:r>
                <w:rPr>
                  <w:rStyle w:val="InternetLink"/>
                  <w:rFonts w:ascii="Times New Roman;serif" w:hAnsi="Times New Roman;serif"/>
                  <w:b w:val="false"/>
                  <w:color w:val="000080"/>
                  <w:sz w:val="20"/>
                  <w:u w:val="single"/>
                </w:rPr>
                <w:t>September</w:t>
              </w:r>
            </w:hyperlink>
            <w:hyperlink w:anchor="i25d1d705df31423db087005ea18f8575_25">
              <w:r>
                <w:rPr>
                  <w:rStyle w:val="InternetLink"/>
                  <w:rFonts w:ascii="Times New Roman;serif" w:hAnsi="Times New Roman;serif"/>
                  <w:b w:val="false"/>
                  <w:color w:val="000080"/>
                  <w:sz w:val="20"/>
                  <w:u w:val="single"/>
                </w:rPr>
                <w:t xml:space="preserve"> 30, 2025 and 2024</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25">
              <w:r>
                <w:rPr>
                  <w:rStyle w:val="InternetLink"/>
                  <w:rFonts w:ascii="Times New Roman;serif" w:hAnsi="Times New Roman;serif"/>
                  <w:b w:val="false"/>
                  <w:color w:val="0000FF"/>
                  <w:sz w:val="20"/>
                  <w:u w:val="single"/>
                </w:rPr>
                <w:t>7</w:t>
              </w:r>
            </w:hyperlink>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28">
              <w:r>
                <w:rPr>
                  <w:rStyle w:val="InternetLink"/>
                  <w:rFonts w:ascii="Times New Roman;serif" w:hAnsi="Times New Roman;serif"/>
                  <w:b w:val="false"/>
                  <w:color w:val="0000FF"/>
                  <w:sz w:val="20"/>
                  <w:u w:val="single"/>
                </w:rPr>
                <w:t>Notes to Condensed Financial Statements</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28">
              <w:r>
                <w:rPr>
                  <w:rStyle w:val="InternetLink"/>
                  <w:rFonts w:ascii="Times New Roman;serif" w:hAnsi="Times New Roman;serif"/>
                  <w:b w:val="false"/>
                  <w:color w:val="0000FF"/>
                  <w:sz w:val="20"/>
                  <w:u w:val="single"/>
                </w:rPr>
                <w:t>8</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88">
              <w:r>
                <w:rPr>
                  <w:rStyle w:val="InternetLink"/>
                  <w:rFonts w:ascii="Times New Roman;serif" w:hAnsi="Times New Roman;serif"/>
                  <w:b w:val="false"/>
                  <w:color w:val="0000FF"/>
                  <w:sz w:val="20"/>
                  <w:u w:val="single"/>
                </w:rPr>
                <w:t>30</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09">
              <w:r>
                <w:rPr>
                  <w:rStyle w:val="InternetLink"/>
                  <w:rFonts w:ascii="Times New Roman;serif" w:hAnsi="Times New Roman;serif"/>
                  <w:b w:val="false"/>
                  <w:color w:val="0000FF"/>
                  <w:sz w:val="20"/>
                  <w:u w:val="single"/>
                </w:rPr>
                <w:t>Item 3. Quantitative and Qualitative Disclosures About Market Risk</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09">
              <w:r>
                <w:rPr>
                  <w:rStyle w:val="InternetLink"/>
                  <w:rFonts w:ascii="Times New Roman;serif" w:hAnsi="Times New Roman;serif"/>
                  <w:b w:val="false"/>
                  <w:color w:val="0000FF"/>
                  <w:sz w:val="20"/>
                  <w:u w:val="single"/>
                </w:rPr>
                <w:t>41</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12">
              <w:r>
                <w:rPr>
                  <w:rStyle w:val="InternetLink"/>
                  <w:rFonts w:ascii="Times New Roman;serif" w:hAnsi="Times New Roman;serif"/>
                  <w:b w:val="false"/>
                  <w:color w:val="0000FF"/>
                  <w:sz w:val="20"/>
                  <w:u w:val="single"/>
                </w:rPr>
                <w:t>Item 4. Controls and Procedures</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12">
              <w:r>
                <w:rPr>
                  <w:rStyle w:val="InternetLink"/>
                  <w:rFonts w:ascii="Times New Roman;serif" w:hAnsi="Times New Roman;serif"/>
                  <w:b w:val="false"/>
                  <w:color w:val="0000FF"/>
                  <w:sz w:val="20"/>
                  <w:u w:val="single"/>
                </w:rPr>
                <w:t>41</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25d1d705df31423db087005ea18f8575_115">
              <w:r>
                <w:rPr>
                  <w:rStyle w:val="InternetLink"/>
                  <w:rFonts w:ascii="Times New Roman;serif" w:hAnsi="Times New Roman;serif"/>
                  <w:b/>
                  <w:color w:val="0000FF"/>
                  <w:sz w:val="20"/>
                  <w:u w:val="single"/>
                </w:rPr>
                <w:t>PART II — OTHER INFORMATION</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18">
              <w:r>
                <w:rPr>
                  <w:rStyle w:val="InternetLink"/>
                  <w:rFonts w:ascii="Times New Roman;serif" w:hAnsi="Times New Roman;serif"/>
                  <w:b w:val="false"/>
                  <w:color w:val="0000FF"/>
                  <w:sz w:val="20"/>
                  <w:u w:val="single"/>
                </w:rPr>
                <w:t>Item 1. Legal Proceedings</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18">
              <w:r>
                <w:rPr>
                  <w:rStyle w:val="InternetLink"/>
                  <w:rFonts w:ascii="Times New Roman;serif" w:hAnsi="Times New Roman;serif"/>
                  <w:b w:val="false"/>
                  <w:color w:val="0000FF"/>
                  <w:sz w:val="20"/>
                  <w:u w:val="single"/>
                </w:rPr>
                <w:t>43</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21">
              <w:r>
                <w:rPr>
                  <w:rStyle w:val="InternetLink"/>
                  <w:rFonts w:ascii="Times New Roman;serif" w:hAnsi="Times New Roman;serif"/>
                  <w:b w:val="false"/>
                  <w:color w:val="0000FF"/>
                  <w:sz w:val="20"/>
                  <w:u w:val="single"/>
                </w:rPr>
                <w:t>Item 1A. Risk Factors</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21">
              <w:r>
                <w:rPr>
                  <w:rStyle w:val="InternetLink"/>
                  <w:rFonts w:ascii="Times New Roman;serif" w:hAnsi="Times New Roman;serif"/>
                  <w:b w:val="false"/>
                  <w:color w:val="0000FF"/>
                  <w:sz w:val="20"/>
                  <w:u w:val="single"/>
                </w:rPr>
                <w:t>43</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24">
              <w:r>
                <w:rPr>
                  <w:rStyle w:val="InternetLink"/>
                  <w:rFonts w:ascii="Times New Roman;serif" w:hAnsi="Times New Roman;serif"/>
                  <w:b w:val="false"/>
                  <w:color w:val="0000FF"/>
                  <w:sz w:val="20"/>
                  <w:u w:val="single"/>
                </w:rPr>
                <w:t>Item 5. Other Information</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24">
              <w:r>
                <w:rPr>
                  <w:rStyle w:val="InternetLink"/>
                  <w:rFonts w:ascii="Times New Roman;serif" w:hAnsi="Times New Roman;serif"/>
                  <w:b w:val="false"/>
                  <w:color w:val="0000FF"/>
                  <w:sz w:val="20"/>
                  <w:u w:val="single"/>
                </w:rPr>
                <w:t>48</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27">
              <w:r>
                <w:rPr>
                  <w:rStyle w:val="InternetLink"/>
                  <w:rFonts w:ascii="Times New Roman;serif" w:hAnsi="Times New Roman;serif"/>
                  <w:b w:val="false"/>
                  <w:color w:val="0000FF"/>
                  <w:sz w:val="20"/>
                  <w:u w:val="single"/>
                </w:rPr>
                <w:t>Item 6. Exhibits</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27">
              <w:r>
                <w:rPr>
                  <w:rStyle w:val="InternetLink"/>
                  <w:rFonts w:ascii="Times New Roman;serif" w:hAnsi="Times New Roman;serif"/>
                  <w:b w:val="false"/>
                  <w:color w:val="0000FF"/>
                  <w:sz w:val="20"/>
                  <w:u w:val="single"/>
                </w:rPr>
                <w:t>49</w:t>
              </w:r>
            </w:hyperlink>
          </w:p>
        </w:tc>
      </w:tr>
      <w:tr>
        <w:trPr/>
        <w:tc>
          <w:tcPr>
            <w:tcW w:w="8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d1d705df31423db087005ea18f8575_130">
              <w:r>
                <w:rPr>
                  <w:rStyle w:val="InternetLink"/>
                  <w:rFonts w:ascii="Times New Roman;serif" w:hAnsi="Times New Roman;serif"/>
                  <w:b w:val="false"/>
                  <w:color w:val="0000FF"/>
                  <w:sz w:val="20"/>
                  <w:u w:val="single"/>
                </w:rPr>
                <w:t>Signatures</w:t>
              </w:r>
            </w:hyperlink>
          </w:p>
        </w:tc>
        <w:tc>
          <w:tcPr>
            <w:tcW w:w="1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d1d705df31423db087005ea18f8575_130">
              <w:r>
                <w:rPr>
                  <w:rStyle w:val="InternetLink"/>
                  <w:rFonts w:ascii="Times New Roman;serif" w:hAnsi="Times New Roman;serif"/>
                  <w:b w:val="false"/>
                  <w:color w:val="0000FF"/>
                  <w:sz w:val="20"/>
                  <w:u w:val="single"/>
                </w:rPr>
                <w:t>50</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Quarterly Report on Form 10-Q.</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use various trademarks and trade names in our business, including without limitation our corporate name and logo. This Quarterly Report on Form 10-Q may also contain trademarks, service marks and trade names of third parties, which are the property of their respective owners. Our use or display of third parties’ trademarks, service marks, trade names or products in this Quarterly Report on Form 10-Q is not intended to, and does not imply a relationship with, or endorsement or sponsorship by us. Solely for convenience, the trademarks and trade names in this Quarterly Report on Form 10-Q may be referred to without the ® and ™ symbols, but the omission of such references should not be construed as any indicator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Esperion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856"/>
        <w:gridCol w:w="2360"/>
        <w:gridCol w:w="2313"/>
        <w:gridCol w:w="211"/>
        <w:gridCol w:w="830"/>
        <w:gridCol w:w="109"/>
        <w:gridCol w:w="109"/>
        <w:gridCol w:w="109"/>
        <w:gridCol w:w="109"/>
        <w:gridCol w:w="211"/>
        <w:gridCol w:w="830"/>
        <w:gridCol w:w="158"/>
      </w:tblGrid>
      <w:tr>
        <w:trPr/>
        <w:tc>
          <w:tcPr>
            <w:tcW w:w="2856"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clinical development costs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inventory costs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and current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operating lease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of issuance costs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 development costs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variable consideration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sale liability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collaborations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of issuance costs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sale liability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deficit:</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5,000,000 shares authorized and no shares issued or outstanding as of September 30, 2025 and December 31, 2024</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480,000,000 shares authorized as of September 30, 2025 and December 31, 2024; 207,424,417 shares issued at September 30, 2025 and 197,846,661 shares issued at December 31, 2024</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1,994,198 shares at September 30, 2025 and December 31, 2024</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(1,601,029)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(388,722)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343,821 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Esperion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36"/>
        <w:gridCol w:w="1135"/>
        <w:gridCol w:w="1099"/>
        <w:gridCol w:w="264"/>
        <w:gridCol w:w="922"/>
        <w:gridCol w:w="109"/>
        <w:gridCol w:w="109"/>
        <w:gridCol w:w="109"/>
        <w:gridCol w:w="109"/>
        <w:gridCol w:w="264"/>
        <w:gridCol w:w="922"/>
        <w:gridCol w:w="109"/>
        <w:gridCol w:w="109"/>
        <w:gridCol w:w="109"/>
        <w:gridCol w:w="109"/>
        <w:gridCol w:w="241"/>
        <w:gridCol w:w="945"/>
        <w:gridCol w:w="109"/>
        <w:gridCol w:w="109"/>
        <w:gridCol w:w="109"/>
        <w:gridCol w:w="109"/>
        <w:gridCol w:w="264"/>
        <w:gridCol w:w="922"/>
        <w:gridCol w:w="109"/>
        <w:gridCol w:w="109"/>
        <w:gridCol w:w="109"/>
        <w:gridCol w:w="156"/>
      </w:tblGrid>
      <w:tr>
        <w:trPr/>
        <w:tc>
          <w:tcPr>
            <w:tcW w:w="143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 - basic and diluted</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200,736,136 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194,930,830 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198,153,654 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184,366,434 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Esperion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866" w:type="dxa"/>
        <w:jc w:val="left"/>
        <w:tblInd w:w="0" w:type="dxa"/>
        <w:tblLayout w:type="fixed"/>
        <w:tblCellMar>
          <w:top w:w="28" w:type="dxa"/>
          <w:left w:w="28" w:type="dxa"/>
          <w:bottom w:w="28" w:type="dxa"/>
          <w:right w:w="28" w:type="dxa"/>
        </w:tblCellMar>
      </w:tblPr>
      <w:tblGrid>
        <w:gridCol w:w="939"/>
        <w:gridCol w:w="414"/>
        <w:gridCol w:w="298"/>
        <w:gridCol w:w="593"/>
        <w:gridCol w:w="593"/>
        <w:gridCol w:w="19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53"/>
        <w:gridCol w:w="680"/>
        <w:gridCol w:w="183"/>
        <w:gridCol w:w="109"/>
        <w:gridCol w:w="109"/>
        <w:gridCol w:w="109"/>
        <w:gridCol w:w="211"/>
        <w:gridCol w:w="736"/>
        <w:gridCol w:w="109"/>
        <w:gridCol w:w="109"/>
        <w:gridCol w:w="109"/>
        <w:gridCol w:w="109"/>
        <w:gridCol w:w="211"/>
        <w:gridCol w:w="84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118,210,315 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 and performance-based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offering, net of issuance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187,855,098 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Vesting of restricted stock units </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479,921 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6,272,783 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194,625,408 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436,188 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ESPP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program, net of issuance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195,440,498 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tbl>
      <w:tblPr>
        <w:tblW w:w="11476" w:type="dxa"/>
        <w:jc w:val="left"/>
        <w:tblInd w:w="0" w:type="dxa"/>
        <w:tblLayout w:type="fixed"/>
        <w:tblCellMar>
          <w:top w:w="28" w:type="dxa"/>
          <w:left w:w="28" w:type="dxa"/>
          <w:bottom w:w="28" w:type="dxa"/>
          <w:right w:w="28" w:type="dxa"/>
        </w:tblCellMar>
      </w:tblPr>
      <w:tblGrid>
        <w:gridCol w:w="667"/>
        <w:gridCol w:w="296"/>
        <w:gridCol w:w="298"/>
        <w:gridCol w:w="593"/>
        <w:gridCol w:w="593"/>
        <w:gridCol w:w="19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53"/>
        <w:gridCol w:w="680"/>
        <w:gridCol w:w="183"/>
        <w:gridCol w:w="109"/>
        <w:gridCol w:w="109"/>
        <w:gridCol w:w="109"/>
        <w:gridCol w:w="211"/>
        <w:gridCol w:w="736"/>
        <w:gridCol w:w="109"/>
        <w:gridCol w:w="109"/>
        <w:gridCol w:w="109"/>
        <w:gridCol w:w="109"/>
        <w:gridCol w:w="211"/>
        <w:gridCol w:w="84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195,852,463 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Vesting of ESPP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196,660,371 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829,390 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program, net of issuance costs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2,665,505 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200,155,266 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673,398 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Vesting of ESPP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program, net of issuance costs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205,430,219 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(1,685,542)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(451,361)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Esperion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82"/>
        <w:gridCol w:w="1834"/>
        <w:gridCol w:w="1846"/>
        <w:gridCol w:w="109"/>
        <w:gridCol w:w="109"/>
        <w:gridCol w:w="213"/>
        <w:gridCol w:w="213"/>
        <w:gridCol w:w="413"/>
        <w:gridCol w:w="1549"/>
        <w:gridCol w:w="213"/>
        <w:gridCol w:w="109"/>
        <w:gridCol w:w="109"/>
        <w:gridCol w:w="109"/>
        <w:gridCol w:w="211"/>
        <w:gridCol w:w="826"/>
        <w:gridCol w:w="160"/>
      </w:tblGrid>
      <w:tr>
        <w:trPr/>
        <w:tc>
          <w:tcPr>
            <w:tcW w:w="218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524" w:type="dxa"/>
            <w:gridSpan w:val="6"/>
            <w:tcBorders/>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 on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revenue interest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royalty sale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(58,336)</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revenue interest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revenue interest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royalty sale liability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royalty sale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ATM program, net of issuance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92,447 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144,717 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costs not yet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Esperion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The Company and Basis of Presentation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Esperion Therapeutics, Inc. ("the Company” or "Esperion") is a commercial stage biopharmaceutical company currently focused on bringing new medicines to patients that address unmet medical needs. The Company has developed and is commercializing U.S. Food and Drug Administration (“FDA”) approved oral, once-daily, non-statin medicines for patients who are at risk for cardiovascular disease ("CVD") and are struggling with elevated low density lipoprotein cholesterol ("LDL-C"). Through commercial execution, international partnerships and collaborations, and advancement of its pre-clinical pipeline, the Company continues to evolve into a leading global biopharmaceutical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CVD or at high risk for a CVD event but without established CVD, and to reduce LDL-C in adults with primary hyperlipidemia. The Company's products were approved by the FDA, the European Commission ("EC") and Swiss Agency for Therapeutic Products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("Otsuka"), Esperion’s Japanese collaborator, announced that the primary endpoint of LDL-C reduction from baseline at Week 12 was achieved with statistical significance in the Phase 3 clinical trial in Japan for bempedoic acid as a treatment for hypercholesterolemia. Otsuka received approval from the Japanese Ministry of Health, Labour and Welfare to market NEXLETOL as a treatment for hypercholesterolemia and familial hypercholesterolemia in September 2025, with expected National Health Insurance ("NHI") pricing in the fourth quarter of 2025. The Company filed supplemental NDAs for product approvals in Canada in November 2024, with expected approval in the fourth quarter of 2025. The Company's collaboration partners filed in Israel in March 2025, with expected approval in the first half of 2026, and in Australia in July 2025, with expected approval in the fourth quarter of 2026.</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and successfully manage its management, commercial and scientific staff; and finance its operations with an ultimate goal of achieving profitable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sustained annual operating losses since inception and expects such losses to continue over the immediate future. While management believes current cash resources and future cash received from the Company's net product sales and collaboration agreements with Daiichi Sankyo Europe GmbH ("DSE"), Otsuka, and Daiichi Sankyo Co. Ltd ("DS"), entered into on January 2, 2019, April 17, 2020 and April 26, 2021, respectively, along with the net proceeds received from the October 2025 underwritten public offering,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adequate funds are not available, the Company may not be able to continue the development of its current products or future product candidates, or to commercialize its current or future product candidates, if approved.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prior year amounts have been reclassified to conform with current year presentation.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2024, and the notes thereto, which are included in the Company’s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Report on Form 10-K for the year ended December 31, 2024. The results of operations for the interim periods are not necessarily indicative of the results to be expected for a full year, any other interim periods or any future year 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GAAP in the United States requires management to make estimates and assumptions that affect the reported amounts of assets, liabilities, net revenues, expenses and related disclosures. Actual results could differ from those estimates.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views its operations and manages its business in one operating segment, which is the business of researching, developing and commercializing therapies for the treatment of patients with elevated LDL-C.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cash and cash equivalents are carried at fair value. Financial instruments, including accounts receivable, other prepaid and current assets, accounts payable and accrued liabilities are carried at cost, which approximates fair value. Debt is carried at amortized cost, which approximates fair value.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distribution agreements with distributors and specialty pharmacies. The Company's net product sales are with these customers. As of September 30, 2025 and December 31, 2024, ten customers accounted for all of the Company's net trade receivables. As of September 30, 2025 and December 31, 2024, three customers held approximately 99% of the Company's trade receivables associated with net product sales. For the nine months ended September 30, 2025 and 2024, three customers accounted for approximately 98% of gross sales of NEXLETOL and NEXLIZET.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240"/>
        <w:jc w:val="left"/>
        <w:rPr/>
      </w:pPr>
      <w:r>
        <w:rPr>
          <w:rFonts w:ascii="Times New Roman;serif" w:hAnsi="Times New Roman;serif"/>
          <w:b w:val="false"/>
          <w:color w:val="000000"/>
          <w:sz w:val="20"/>
        </w:rPr>
        <w:t xml:space="preserve">In accordance with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a.Collaboration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as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w:t>
      </w:r>
    </w:p>
    <w:p>
      <w:pPr>
        <w:pStyle w:val="TextBody"/>
        <w:bidi w:val="0"/>
        <w:spacing w:lineRule="auto" w:line="268" w:before="0" w:after="0"/>
        <w:jc w:val="left"/>
        <w:rPr/>
      </w:pPr>
      <w:r>
        <w:rPr>
          <w:rFonts w:ascii="Times New Roman;serif" w:hAnsi="Times New Roman;serif"/>
          <w:b w:val="false"/>
          <w:color w:val="000000"/>
          <w:sz w:val="20"/>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collaborators. On May 22, 2024, the Company announced that the EC approved the label update of both NILEMDO and NUSTENDI as treatments for hypercholesterolemia and to reduce the risk of adverse cardiovascular events. The EC’s decisions to update the labels of bempedoic acid and bempedoic acid / ezetimibe FDC are based on the positive CLEAR Outcomes trial results and make them the first and only LDL-C lowering treatments indicated for primary and secondary prevention of cardiovascular events. NILEMDO and NUSTENDI are approved to reduce cardiovascular risk in patients with or at high risk for atherosclerotic cardiovascular disease</w:t>
      </w:r>
      <w:r>
        <w:rPr>
          <w:rFonts w:ascii="Times New Roman;serif" w:hAnsi="Times New Roman;serif"/>
          <w:b w:val="false"/>
          <w:color w:val="008080"/>
          <w:sz w:val="24"/>
        </w:rPr>
        <w:t>.</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b.Product Sales, Net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Product sales, net totaled $40.7 million and $115.8 million, respectively, for the three and nine months ended September 30, 2025, and $31.1 million and $84.2 million, respectively, for the three and nine months ended September 30, 2024.</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sells NEXLETOL and NEXLIZET to wholesalers in the U.S. and, in accordance with ASC 606, recognizes revenue at the point in time when the customer is deemed to have obtained control of the product. The customer is deemed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have obtained control of the product at the time of physical receipt of the product at the customers’ distribution facilities, or free on board (“FOB”) destination, the terms of which are designated in the contract.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Liabilities for co-pay assistance, expected product returns, rebates, and distributor fees are classified as “Accrued variable consideration” in the condensed balance sheets. Discounts, such as prompt pay discounts, and chargebacks are recorded as a reduction to accounts receivable in the condensed balance sheets.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Forms of Variable Consideration</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Rebates and Chargebacks:</w:t>
      </w:r>
      <w:r>
        <w:rPr>
          <w:color w:val="000000"/>
        </w:rPr>
        <w:t xml:space="preserve"> </w:t>
      </w:r>
      <w:r>
        <w:rPr>
          <w:rFonts w:ascii="Times New Roman;serif" w:hAnsi="Times New Roman;serif"/>
          <w:b w:val="false"/>
          <w:color w:val="000000"/>
          <w:sz w:val="20"/>
        </w:rPr>
        <w:t>The Company estimates reductions to product sales for Public Health Service Institutions, such as Medicaid, Medicare 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Co-pay assistance:</w:t>
      </w:r>
      <w:r>
        <w:rPr>
          <w:color w:val="000000"/>
        </w:rPr>
        <w:t xml:space="preserve"> </w:t>
      </w:r>
      <w:r>
        <w:rPr>
          <w:rFonts w:ascii="Times New Roman;serif" w:hAnsi="Times New Roman;serif"/>
          <w:b w:val="false"/>
          <w:color w:val="000000"/>
          <w:sz w:val="20"/>
        </w:rPr>
        <w:t>Eligible patients who have commercial insurance may receive assistance from the Company to reduce the patient's out of 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Distribution Fees:</w:t>
      </w:r>
      <w:r>
        <w:rPr>
          <w:color w:val="000000"/>
        </w:rPr>
        <w:t xml:space="preserve"> </w:t>
      </w:r>
      <w:r>
        <w:rPr>
          <w:rFonts w:ascii="Times New Roman;serif" w:hAnsi="Times New Roman;serif"/>
          <w:b w:val="false"/>
          <w:color w:val="000000"/>
          <w:sz w:val="20"/>
        </w:rPr>
        <w:t>The Company has written contracts with its customers that include terms for distribution fees and costs for inventory management. The Company estimates and records distribution fees due to its customers based on gross sales.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Product Returns:</w:t>
      </w:r>
      <w:r>
        <w:rPr>
          <w:color w:val="000000"/>
        </w:rPr>
        <w:t xml:space="preserve"> </w:t>
      </w:r>
      <w:r>
        <w:rPr>
          <w:rFonts w:ascii="Times New Roman;serif" w:hAnsi="Times New Roman;serif"/>
          <w:b w:val="false"/>
          <w:color w:val="000000"/>
          <w:sz w:val="20"/>
        </w:rPr>
        <w:t>The Company generally offers a right of return based on the product’s expiration date and certain spoilage and damaged instances. The Company estimates the amount of 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Discounts:</w:t>
      </w:r>
      <w:r>
        <w:rPr>
          <w:color w:val="000000"/>
        </w:rPr>
        <w:t xml:space="preserve"> </w:t>
      </w:r>
      <w:r>
        <w:rPr>
          <w:rFonts w:ascii="Times New Roman;serif" w:hAnsi="Times New Roman;serif"/>
          <w:b w:val="false"/>
          <w:color w:val="000000"/>
          <w:sz w:val="20"/>
        </w:rPr>
        <w:t>The Company provides product discounts, such as prompt pay discounts, to its customers. The Company estimates cash discounts based on terms in negotiated contracts and the Company’s expectations regarding future payment patterns.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Inventories,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and recognized on a first-in, first-out ("FIFO") method. The Company uses standard cost to determine the cost basis for inventory. Inventory is capitalized based on when future economic benefit is expected to be realized.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Liability Related to the Sale of Future Royalties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treats the sale of future DSE royalties as debt, amortized under the effective interest rate method over the estimated life of the royalty sale agreement. The royalty sale liability is presented net of deferred issuance costs on the balance sheets. The amortization of the liability related to future royalties and related interest expense are based on the Company's current estimates of future royalties, which the Company determines by using forecasted royalty sales from its collaboration partner, historical experience, third-party forecasts and current market conditions.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recognize the related non-cash interest expense. Royalty revenue is recognized and the related liability reduced as earned.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68" w:before="0" w:after="0"/>
        <w:jc w:val="left"/>
        <w:rPr/>
      </w:pPr>
      <w:r>
        <w:rPr>
          <w:rFonts w:ascii="Times New Roman;serif" w:hAnsi="Times New Roman;serif"/>
          <w:b w:val="false"/>
          <w:color w:val="000000"/>
          <w:sz w:val="20"/>
        </w:rPr>
        <w:t>In December 2023, the Financial Accounting Standards Board ("FASB") issued Accounting Standards Update ("ASU") 2023-09,</w:t>
      </w:r>
      <w:r>
        <w:rPr>
          <w:color w:val="000000"/>
        </w:rPr>
        <w:t xml:space="preserve">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disaggregated information about a reporting entity's effective tax rate reconciliation, as well as information related to income taxes paid to enhance the transparency and decision usefulness of income tax disclosures. This ASU will be effective for the annual period ending December 31, 2025. Adoption of this ASU will result in additional disclosure, but it will not impact Esperion's financial position, results of operations or cash flows. The Company is currently evaluating the disclosure impacts of adoption of this ASU.</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Disaggregation of Income Statement Expenses (Subtopic 220-40)</w:t>
      </w:r>
      <w:r>
        <w:rPr>
          <w:rFonts w:ascii="Times New Roman;serif" w:hAnsi="Times New Roman;serif"/>
          <w:b w:val="false"/>
          <w:color w:val="000000"/>
          <w:sz w:val="20"/>
        </w:rPr>
        <w:t>, which requires additional disclosure of the nature of expenses included in the income statement. The primary goal is to improve the decision usefulness of expense information on public business entities' income statements through the disaggregation of relevant expense captions in the notes of the financial statements. This ASU will be effective for annual periods beginning after December 15, 2026, and interim periods after December 15, 2027. The Company is currently evaluating the timing and impacts of adoption of this ASU.</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amends certain aspects of the accounting for and disclosure of software costs. This ASU will be effective for annual reporting periods beginning after December 15, 2027, and interim reporting periods within those annual reporting periods. Early adoption is permitted. The Company is currently evaluating the timing and impacts of adoption of this ASU.</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other material changes to the significant accounting policies previously disclosed in the Company’s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Collaborations with Third Parties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DSE Agreement Terms</w:t>
      </w:r>
    </w:p>
    <w:p>
      <w:pPr>
        <w:pStyle w:val="TextBody"/>
        <w:bidi w:val="0"/>
        <w:spacing w:lineRule="auto" w:line="268" w:before="0" w:after="0"/>
        <w:jc w:val="left"/>
        <w:rPr/>
      </w:pPr>
      <w:r>
        <w:rPr>
          <w:rFonts w:ascii="Times New Roman;serif" w:hAnsi="Times New Roman;serif"/>
          <w:b w:val="false"/>
          <w:color w:val="000000"/>
          <w:sz w:val="20"/>
        </w:rPr>
        <w:t>On January 2, 2019, the Company entered into a license and collaboration agreement with DSE, which was amended on June 18, 2020, and further amended on January 2, 2024</w:t>
      </w:r>
      <w:r>
        <w:rPr>
          <w:color w:val="000000"/>
        </w:rPr>
        <w:t xml:space="preserve"> </w:t>
      </w:r>
      <w:r>
        <w:rPr>
          <w:rFonts w:ascii="Times New Roman;serif" w:hAnsi="Times New Roman;serif"/>
          <w:b w:val="false"/>
          <w:color w:val="000000"/>
          <w:sz w:val="20"/>
        </w:rPr>
        <w:t>(as amended, the “DSE Agreement”). Pursuant to the DSE Agreement, the Company granted DSE exclusive commercialization rights to bempedoic acid and the bempedoic acid / ezetimibe combination tablet in the European Economic Area, United Kingdom, Turkey, and Switzerland (collectively, the “DSE Territory”). DSE is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DSE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is entitled to receive tiered fifteen percent (15%) to twenty-five percent (25%) royalties on net DSE Territory sales.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DSE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pPr>
      <w:r>
        <w:rPr>
          <w:rFonts w:ascii="Times New Roman;serif" w:hAnsi="Times New Roman;serif"/>
          <w:b w:val="false"/>
          <w:color w:val="000000"/>
          <w:sz w:val="20"/>
        </w:rPr>
        <w:t>On January 2, 2024, the Company entered into a settlement agreement (the "Settlement Agreement") with DSE to amicably resolve and dismiss their commercial dispute in the Southern District of New York. Under the Settlement Agreement, DSE has agreed to pay the Company an aggregate of $125.0 million, including (1) a $100.0 million payment within 15 business days of the effective date of the Settlement Agreement and (2) a $25.0 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Pursuant to the Settlement Agreement, also on January 2, 2024, the Company entered into a 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Amendment (the “DSE Amendment”) to the License and Collaboration Agreement dated January 2, 2019 with DSE. The DSE Amendment grants DSE the exclusive rights for clinical development, regulatory activities, manufacture and commercialization of a bempedoic acid/ezetimibe/statin triple combination pill in the DSE Territory. Further, after a transition period, DSE will assume sole responsibility for the manufacture of NILEMDO and NUSTENDI for the DSE Territory. As of January 2, 2024, DSE has sole authority and control of regulatory communications with the EMA regarding the pending marketing authorization applications for NILEMDO and NUSTENDI. Pursuant to the DSE Amendment, the Company is entitled to receive one-time cash payments of up to $300.0 million upon the achievement of certain commercial milestones related to total net sales achievements in the DSE Territory. The Company is also entitled to receive tiered 15% to 25% royalties on net DSE Territory sales.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Collaboration Revenue</w:t>
      </w:r>
    </w:p>
    <w:p>
      <w:pPr>
        <w:pStyle w:val="TextBody"/>
        <w:bidi w:val="0"/>
        <w:spacing w:lineRule="auto" w:line="268" w:before="0" w:after="24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and nine months ended September 30, 2025, the Company recognized collaboration revenue of approximately $45.0 million and $115.4 million, respectively, related to royalty revenue from DSE from the sales of NILEMDO and NUSTENDI, as well as the sales of bulk tablets and API to DSE pursuant to the supply agreement that was executed with DSE. </w:t>
      </w:r>
    </w:p>
    <w:p>
      <w:pPr>
        <w:pStyle w:val="TextBody"/>
        <w:bidi w:val="0"/>
        <w:spacing w:lineRule="auto" w:line="26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In 2024, the Company considered the guidance under ASC 606 and concluded that the Settlement Agreement was in the scope of ASC 606. The Company determined that significantly all the upfront payment of $100.0 million from the transaction price received under the Settlement Agreement qualified for revenue recognition as it related to settlement of performance obligations completed under the DSE Agreement, including: 1) the settlement of the disputed milestone, which relates to variable consideration for full satisfied performance obligations, and 2) the developmental rights for the triple combination pill. In May 2024, the Company recognized collaboration revenue for a milestone payment of $25 million based on the approval of updated labels for NILEMDO and NUSTENDI by the EMA and received the cash milestone payment in June 2024. In the three and nine months ended September 30, 2024, the Company recognized collaboration revenue of $20.5 million and approximately $178.9 million, respectively, made up of the regulatory milestones from the Settlement Agreement and EMA approval, royalty revenue from DSE and sales of bulk tablets to DSE pursuant to the supply agreement that was executed with DSE. </w:t>
      </w:r>
    </w:p>
    <w:p>
      <w:pPr>
        <w:pStyle w:val="TextBody"/>
        <w:bidi w:val="0"/>
        <w:spacing w:before="0" w:after="0"/>
        <w:ind w:left="0" w:right="0" w:firstLine="27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remaining future potential milestone amounts were not included in the transaction price, as they were all determined to be fully constrained following the concepts of ASC 606 due to the fact that such amounts hinge on sales-based milestones. Additionally, the Company expects that any consideration related to sales-based milestones will be recognized when the subsequent sales occur.</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Otsuka Agreement Terms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17, 2020, the Company entered into a license and collaboration agreement (the "Otsuka Agreement") with Otsuka. Pursuant to the Otsuka Agreement, the Company granted Otsuka exclusive development and commercialization rights to NEXLETOL and NEXLIZET in Japan (the "Otsuka Territory"). Otsuka will be responsible for all development, regulatory, and commercialization activities in Japan. In addition, Otsuka will fund all clinical development costs associated with the program in Japan.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Otsuka Agreement, the consideration consists of a $60.0 million upfront cash payment and the Company will be eligible to receive additional payments of up to $450.0 million if certain regulatory and commercial milestones are achieved by Otsuka. The Company received $10.0 million in the year ended December 31, 2024, related to a milestone payment upon first Japanese New Drug Application ("JNDA") submissions in the Otsuka Territory. The potential future milestone payments include up to $70.0 million upon the first NHI Price Listing for NEXLETOL in the Otsuka Territory, up to $50.0 million upon the achievement of the primary major adverse cardiovascular events (“MACE”) in the CLEAR Outcomes study and inclusion of the CV risk reduction indication in the U.S. label, depending on the range of relative risk reduction in the CLEAR Outcomes study, payable upon approval and pricing in Japan and up to $10.0 million upon first JNDA approval in the Otsuka Territory for the Combination Product (as defined in the Otsuka Agreement) for the Initial Indication (as defined in the Otsuka Agreement) in the Otsuka Territory. In addition, the Company is eligible to receive additional sales milestone payments up to $310.0 million related to total net sales achievements for Otsuka in Japan. Finally, the Company is entitled to receive tiered fifteen percent (15%) to thirty percent (30%) royalties on net sales in Japan.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Collaboration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considered the guidance under ASC 606 and concluded that the Otsuka Agreement was in the scope of ASC 606. In the three and nine months ended September 30, 2025, the Company did not have any collaboration revenue related to the Otsuka Agreement. In the three and nine months ended September 30, 2024, the Company recognized collaboration revenue of less than $0.1 million and approximately $0.1 million related to sales of bulk tablets to Otsuka pursuant to the supply agreement that was executed with Otsuka.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DS Agreement Terms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2021, the Company entered into a license and collaboration agreement with DS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In October 2025, DS terminated their rights to sell bempedoic acid and the bempedoic acid / ezetimibe combination tablet in Cambodia and Myanmar. The DS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DS Agreement, the consideration consists of a $30.0 million upfront cash payment that is non-refundable, non-reimbursable and non-creditable. The Company is also eligible to receive additional one-time payments of up to $175.0 million if certain commercial milestones are achieved by DS. Also, the Company is entitled to receive tiered royalties of five percent (5%) to twenty percent (20%) of net sales in the DS Territory.</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Settlement Agreement, on January 2, 2024, the Company entered into the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 </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Collaboration Revenue</w:t>
      </w:r>
    </w:p>
    <w:p>
      <w:pPr>
        <w:pStyle w:val="TextBody"/>
        <w:bidi w:val="0"/>
        <w:spacing w:before="0" w:after="0"/>
        <w:jc w:val="left"/>
        <w:rPr/>
      </w:pPr>
      <w:r>
        <w:rPr/>
      </w:r>
    </w:p>
    <w:p>
      <w:pPr>
        <w:pStyle w:val="TextBody"/>
        <w:bidi w:val="0"/>
        <w:spacing w:lineRule="auto" w:line="26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Company recognized $1.7 million and $2.2 million of collaboration revenue in the three and nine months ended September 30, 2025, respectively, related to royalty revenue from DS and sales of bulk tablets per the agreement with DS. Aside from that discussed in the "DSE Agreement Terms" section above, the Company recognized less than $0.1 million of collaboration revenue in the three and nine months ended September 30, 2024 related to royalty revenue from DS.</w:t>
      </w:r>
    </w:p>
    <w:p>
      <w:pPr>
        <w:pStyle w:val="TextBody"/>
        <w:bidi w:val="0"/>
        <w:spacing w:before="0" w:after="0"/>
        <w:ind w:left="0" w:right="0" w:firstLine="27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Other Agreements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2025, the Company entered into a license and distribution agreement with Seqirus Pty Ltd ("CSL Seqirus") for the rights to commercialize NEXLETOL and NEXLIZET in Australia and New Zealand. Under the terms of the agreement, the Company will receive upfront and near-term milestone payments and will be responsible for supplying finished product to CSL Seqirus. CSL Seqirus will be responsible for commercialization, including regulatory approval, reimbursement and marketing. During the three months ended September 30, 2025, the Company did not have any collaboration revenue related to the agreement. During the nine months ended September 30, 2025, the Company recognized approximately $0.3 million of collaboration revenue related to the upfront milestone payment.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2025, the Company entered into a license and distribution agreement with HLS Therapeutics Inc. (“HLS”) for the exclusive rights to commercialize NEXLETOL and NEXLIZET in Canada. Under the terms of the agreement, the Company will receive upfront and near-term milestone payments along with tiered royalties on product sales. The Company will be responsible for supplying finished product to HLS at a profitable transfer price. HLS will be responsible for commercialization, including reimbursement and marketing. During the three months ended September 30, 2025, the Company did not have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revenue related to the agreement. During the nine months ended September 30, 2025, the Company recognized $1.0 million of collaboration revenue related to the upfront milestone payment.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Inventories, net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Inventories, net consist of the following (in thousands):</w:t>
      </w:r>
    </w:p>
    <w:tbl>
      <w:tblPr>
        <w:tblW w:w="4842" w:type="dxa"/>
        <w:jc w:val="left"/>
        <w:tblInd w:w="0" w:type="dxa"/>
        <w:tblLayout w:type="fixed"/>
        <w:tblCellMar>
          <w:top w:w="28" w:type="dxa"/>
          <w:left w:w="28" w:type="dxa"/>
          <w:bottom w:w="28" w:type="dxa"/>
          <w:right w:w="28" w:type="dxa"/>
        </w:tblCellMar>
      </w:tblPr>
      <w:tblGrid>
        <w:gridCol w:w="516"/>
        <w:gridCol w:w="453"/>
        <w:gridCol w:w="456"/>
        <w:gridCol w:w="284"/>
        <w:gridCol w:w="1114"/>
        <w:gridCol w:w="147"/>
        <w:gridCol w:w="109"/>
        <w:gridCol w:w="109"/>
        <w:gridCol w:w="109"/>
        <w:gridCol w:w="300"/>
        <w:gridCol w:w="1026"/>
        <w:gridCol w:w="21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103,214 </w:t>
            </w:r>
          </w:p>
        </w:tc>
        <w:tc>
          <w:tcPr>
            <w:tcW w:w="14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84,584 </w:t>
            </w:r>
          </w:p>
        </w:tc>
        <w:tc>
          <w:tcPr>
            <w:tcW w:w="21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108,539 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94,491 </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Inventory reserves were $4.5 million and $0.3 million at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5. Commitments and Contingencies </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ANDA Litigation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Hatch-Waxman Act to the Federal Food, Drug, and Cosmetic Act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May 2024, the Company filed patent infringement lawsuits under the Hatch-Waxman Act in the United States District Court, District of New Jersey, against each ANDA Filer: Accord Healthcare Inc.; Alkem Laboratories Ltd.; Aurobindo Pharma Limited (along with its affiliate); Dr. Reddy’s Laboratories Inc. (along with its affiliate, collectively, “Dr. Reddy’s Laboratories”); Hetero USA Inc. (along with its affiliates, collectively, “Hetero USA”); Micro Labs USA Inc. (along with its affiliate, collectively, “Micro Labs”); MSN Pharmaceuticals Inc. (along with an affiliate); Renata Limited;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subsequently reached settlement agreements with Micro Labs, Hetero USA, Accord Healthcare Inc. and Dr. Reddy’s Laboratories in May, June, July and October 2025, respectively. Each settlement agreement resolved the patent litigation brought by the Company against the particular ANDA Filer, each of which has agreed not to market a generic version of NEXLETOL and/or NEXLIZET, as applicable, in the United States prior to April 19, 2040, unless certain circumstances customarily included in these types of agreements occur. With the settlement with Dr. Reddy’s Laboratories in October 2025, there are no remaining challenges regarding the validity or infringement of U.S Patent No. 7,335,799 in the pending patent litigation with the remaining ANDA filers. Certain of the Company’s patents that remain subject to the pending patent litigation are scheduled to expire in March 2036, while others are scheduled to expire in June 2040.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pending patent litigation against the remaining ANDA Filers (Alkem Laboratories Ltd.; Aurobindo Pharma Limited (along with an affiliate); MSN Pharmaceuticals Inc. (along with an affiliate); Renata Limited (along with an affiliate); and Sandoz Inc.) is ongoing, and there can be no assurance whether such ongoing patent litigation will allow a generic version of NEXLETOL and/or NEXLIZET, as applicable, to be marketed in the U.S. prior to April 19, 2040. The trial is anticipated to begin no earlier than January 2027, but no trial date has been set.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Cash Equivalents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equivalents (in thousands):</w:t>
      </w:r>
    </w:p>
    <w:tbl>
      <w:tblPr>
        <w:tblW w:w="8672" w:type="dxa"/>
        <w:jc w:val="center"/>
        <w:tblInd w:w="0" w:type="dxa"/>
        <w:tblLayout w:type="fixed"/>
        <w:tblCellMar>
          <w:top w:w="28" w:type="dxa"/>
          <w:left w:w="28" w:type="dxa"/>
          <w:bottom w:w="28" w:type="dxa"/>
          <w:right w:w="28" w:type="dxa"/>
        </w:tblCellMar>
      </w:tblPr>
      <w:tblGrid>
        <w:gridCol w:w="688"/>
        <w:gridCol w:w="607"/>
        <w:gridCol w:w="610"/>
        <w:gridCol w:w="211"/>
        <w:gridCol w:w="721"/>
        <w:gridCol w:w="109"/>
        <w:gridCol w:w="109"/>
        <w:gridCol w:w="109"/>
        <w:gridCol w:w="109"/>
        <w:gridCol w:w="526"/>
        <w:gridCol w:w="1014"/>
        <w:gridCol w:w="274"/>
        <w:gridCol w:w="109"/>
        <w:gridCol w:w="109"/>
        <w:gridCol w:w="109"/>
        <w:gridCol w:w="535"/>
        <w:gridCol w:w="1031"/>
        <w:gridCol w:w="279"/>
        <w:gridCol w:w="109"/>
        <w:gridCol w:w="109"/>
        <w:gridCol w:w="109"/>
        <w:gridCol w:w="211"/>
        <w:gridCol w:w="721"/>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 xml:space="preserve">Fair </w:t>
              <w:br/>
              <w:t>Value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82" w:type="dxa"/>
        <w:jc w:val="left"/>
        <w:tblInd w:w="0" w:type="dxa"/>
        <w:tblLayout w:type="fixed"/>
        <w:tblCellMar>
          <w:top w:w="28" w:type="dxa"/>
          <w:left w:w="28" w:type="dxa"/>
          <w:bottom w:w="28" w:type="dxa"/>
          <w:right w:w="28" w:type="dxa"/>
        </w:tblCellMar>
      </w:tblPr>
      <w:tblGrid>
        <w:gridCol w:w="688"/>
        <w:gridCol w:w="607"/>
        <w:gridCol w:w="610"/>
        <w:gridCol w:w="211"/>
        <w:gridCol w:w="826"/>
        <w:gridCol w:w="109"/>
        <w:gridCol w:w="109"/>
        <w:gridCol w:w="109"/>
        <w:gridCol w:w="109"/>
        <w:gridCol w:w="526"/>
        <w:gridCol w:w="1014"/>
        <w:gridCol w:w="274"/>
        <w:gridCol w:w="109"/>
        <w:gridCol w:w="109"/>
        <w:gridCol w:w="109"/>
        <w:gridCol w:w="535"/>
        <w:gridCol w:w="1031"/>
        <w:gridCol w:w="279"/>
        <w:gridCol w:w="109"/>
        <w:gridCol w:w="109"/>
        <w:gridCol w:w="109"/>
        <w:gridCol w:w="211"/>
        <w:gridCol w:w="82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 xml:space="preserve">Fair </w:t>
              <w:br/>
              <w:t>Value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other income, net in the statements of operations includes interest income on cash equivalents of $0.7 million and $2.4 million, respectively. During the three and nine months ended September 30, 2024, other income, net in the statements of operations includes interest income on cash equivalents of $1.6 million and $6.4 million, respectively. During the three and nine months ended September 30, 2025 and 2024, there was no accretion of premiums and discounts on investments.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unrealized gains or losses on investments reclassified from accumulated other comprehensive income (loss) to other income in the statements of operations during the three and nine months ended September 30, 2025 and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and 2024, there were no allowances for credit losses and all unrealized gains (losses) for available-for-sale securities were recognized in accumulated other comprehensive income (loss). As of September 30, 2025, the Company had no accrued interest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tbl>
      <w:tblPr>
        <w:tblW w:w="10205" w:type="dxa"/>
        <w:jc w:val="left"/>
        <w:tblInd w:w="0" w:type="dxa"/>
        <w:tblLayout w:type="fixed"/>
        <w:tblCellMar>
          <w:top w:w="28" w:type="dxa"/>
          <w:left w:w="28" w:type="dxa"/>
          <w:bottom w:w="28" w:type="dxa"/>
          <w:right w:w="28" w:type="dxa"/>
        </w:tblCellMar>
      </w:tblPr>
      <w:tblGrid>
        <w:gridCol w:w="380"/>
        <w:gridCol w:w="334"/>
        <w:gridCol w:w="337"/>
        <w:gridCol w:w="109"/>
        <w:gridCol w:w="109"/>
        <w:gridCol w:w="109"/>
        <w:gridCol w:w="2696"/>
        <w:gridCol w:w="2529"/>
        <w:gridCol w:w="3602"/>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60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for identical assets or liabilities in active markets;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Observable inputs other than Level 1 prices, such as quoted market prices for similar assets or liabilities or other inputs that are observable or can be corroborated by market data; and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Unobservable inputs that are supported by little or no market activity and require the reporting entity to develop assumptions that market participants would use when pricing the asset or liability.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assets that have been measured at fair value on a recurring basis (in thousands):</w:t>
      </w:r>
    </w:p>
    <w:tbl>
      <w:tblPr>
        <w:tblW w:w="7167" w:type="dxa"/>
        <w:jc w:val="left"/>
        <w:tblInd w:w="0" w:type="dxa"/>
        <w:tblLayout w:type="fixed"/>
        <w:tblCellMar>
          <w:top w:w="28" w:type="dxa"/>
          <w:left w:w="28" w:type="dxa"/>
          <w:bottom w:w="28" w:type="dxa"/>
          <w:right w:w="28" w:type="dxa"/>
        </w:tblCellMar>
      </w:tblPr>
      <w:tblGrid>
        <w:gridCol w:w="749"/>
        <w:gridCol w:w="656"/>
        <w:gridCol w:w="665"/>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40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Levels 1, 2 or 3 during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40"/>
        <w:jc w:val="left"/>
        <w:rPr>
          <w:rFonts w:ascii="Times New Roman;serif" w:hAnsi="Times New Roman;serif"/>
          <w:b/>
          <w:color w:val="000000"/>
          <w:sz w:val="20"/>
        </w:rPr>
      </w:pPr>
      <w:r>
        <w:rPr>
          <w:rFonts w:ascii="Times New Roman;serif" w:hAnsi="Times New Roman;serif"/>
          <w:b/>
          <w:color w:val="000000"/>
          <w:sz w:val="20"/>
        </w:rPr>
        <w:t>8. Liability Related to the Revenue Interest Purchase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June 26, 2019, the Company entered into a Revenue Interest Purchase Agreement ("RIPA") with Eiger III SA LLC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As consideration for such payments, the Purchasers had a right to receive certain revenue interests (the “Revenue Interests”) from the Company based upon net sales of the Company’s certain products, once approved, which were tiered payments initially ranging from 2.5% to 7.5% of the Company’s net sales in the covered territory (the “Covered Territory”); provided that if annual net sales equaled or exceeded the Sales Threshold and if the Purchasers received 100% of their invested capital by December 31, 2024, the revenue interest rate would be decreased to a single rate of 0.4% of the Company’s net sales in the Covered Territory beginning on January 1, 2025. If the Third Payment was drawn down by the Company, the applicable royalty rates would increase by one-third. The Covered Territory was the United States, but was subject to expand to include the world-wide net sales if the Company’s annual U.S. net sales were less than $350.0 million for the year ended December 31, 2021. The U.S. net sales milestone thresholds are not to be taken as financial guidance. The Purchasers’ rights to receive the Revenue Interests would terminate on the date on which the Purchasers received Revenue Interests payments of 195% of the then aggregate purchase price (the “Cumulative Purchaser Payments”) paid to the Company, unless the RIPA were terminated earlier.</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RIPA Amendments</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Since the Specified Net Revenue for the calendar quarter ended September 30, 2021 did not exceed $15.0 million, the Company deposited $50.0 million in a deposit account subject to a block account control agreement, which was classified as restricted cash on the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November 23, 2022, the Company entered into Waiver and Amendment No. 3 to Revenue Interest Purchase Agreement and Amendment No. 2 to Security Agreement (the “RIPA Amendment 3”). Pursuant to the RIPA Amendment 3, among other things, (a) the Company agreed to make a one-time partial call payment with regards to the Revenue Interests (as defined in the RIPA) in an amount equal to $50.0 million from the restricted cash account (the “Partial Call”), (b) the amount of the Cumulative Purchaser Payments (as defined in the RIPA) was reduced to $177.8 million, and (c) the Purchasers and Purchaser Agent waived certain claimed defaults, breaches and Put Option Events under the RIPA and other related documents that may have occurred as a result of the Company’s opening of a new bank account.</w:t>
      </w:r>
    </w:p>
    <w:p>
      <w:pPr>
        <w:pStyle w:val="TextBody"/>
        <w:bidi w:val="0"/>
        <w:spacing w:lineRule="auto" w:line="256" w:before="0" w:after="240"/>
        <w:jc w:val="left"/>
        <w:rPr/>
      </w:pPr>
      <w:r>
        <w:rPr>
          <w:rFonts w:ascii="Times New Roman;serif" w:hAnsi="Times New Roman;serif"/>
          <w:b w:val="false"/>
          <w:color w:val="000000"/>
          <w:sz w:val="20"/>
        </w:rPr>
        <w:t>On June 27, 2024, the Company repurchased Revenue Interests outstanding under the RIPA and satisfied all other Obligations (as defined in the RIPA) owed to the Purchasers and the Purchaser Agent by paying to the Purchaser Agent, for the benefit of the Purchasers, a payment in cash of $343.8 million (the “Repurchase Consideration”).</w:t>
      </w:r>
      <w:r>
        <w:rPr>
          <w:color w:val="000000"/>
        </w:rPr>
        <w:t xml:space="preserve"> </w:t>
      </w:r>
      <w:r>
        <w:rPr>
          <w:rFonts w:ascii="Times New Roman;serif" w:hAnsi="Times New Roman;serif"/>
          <w:b w:val="false"/>
          <w:color w:val="000000"/>
          <w:sz w:val="20"/>
        </w:rPr>
        <w:t>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r>
        <w:rPr>
          <w:color w:val="000000"/>
        </w:rPr>
        <w:t xml:space="preserve"> </w:t>
      </w:r>
    </w:p>
    <w:p>
      <w:pPr>
        <w:pStyle w:val="TextBody"/>
        <w:bidi w:val="0"/>
        <w:spacing w:lineRule="auto" w:line="256" w:before="0" w:after="240"/>
        <w:jc w:val="left"/>
        <w:rPr/>
      </w:pPr>
      <w:r>
        <w:rPr>
          <w:rFonts w:ascii="Times New Roman;serif" w:hAnsi="Times New Roman;serif"/>
          <w:b w:val="false"/>
          <w:color w:val="000000"/>
          <w:sz w:val="20"/>
        </w:rPr>
        <w:t xml:space="preserve">In connection with the termination of the RIPA in accordance with ASC 470 </w:t>
      </w:r>
      <w:r>
        <w:rPr>
          <w:rFonts w:ascii="Times New Roman;serif" w:hAnsi="Times New Roman;serif"/>
          <w:b w:val="false"/>
          <w:i/>
          <w:color w:val="000000"/>
          <w:sz w:val="20"/>
        </w:rPr>
        <w:t>Debt</w:t>
      </w:r>
      <w:r>
        <w:rPr>
          <w:rFonts w:ascii="Times New Roman;serif" w:hAnsi="Times New Roman;serif"/>
          <w:b w:val="false"/>
          <w:color w:val="000000"/>
          <w:sz w:val="20"/>
        </w:rPr>
        <w:t>, the Company recorded a loss on debt extinguishment of $53.2 million in the loss on extinguishment of debt line item of the Condensed Statements of Operations and Comprehensive Loss for the nine months ended September 30,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termination of the RIPA, as of December 31, 2024, the Company no longer has the liability referred to as the “Revenue interest liability” on the balance sheet. The Company imputed interest expense associated with the liability using the effective interest rate method through the repurchase date of June 27, 2024. The effective interest rate was calculated based on the rate that would enable the debt to be repaid in full over the anticipated life of the arrangement. The interest rate on the liability varied during the term of the agreement depending on a number of factors, including the level of forecasted net sales. The Company evaluated the interest rate quarterly based on its current net sales forecasts utilizing the prospective method.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recorded no interest expense related to this arrangement for the three and nine months ended September 30, 2025. The Company recognized no interest expense for the three months ended September 30, 2024 and $21.6 million in interest expense for the nine months ended September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Sale of Future Royalties</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On June 27, 2024, the Company entered into the Purchase Agreement with OCM IP Healthcare Portfolio LP ("the Purchaser"). Pursuant to the Purchase Agreement, the Company sold to the Purchaser, and the Purchaser purchased for $304.7 million,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 In connection with the Purchase Agreement, the Company incurred $9.6 million in issuance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Purchaser acquired 100% of the Royalty Interests until such time as the Purchaser has received an aggregate amount equal to 1.7x of the Purchase Price (equivalent to $517.9 million). Following receipt of such amount, 100% of all Royalty Interests will revert to the Company. The Purchase Agreement contains other customary terms and conditions, including representations and warranties, covenants and indemnification obligations in favor of each party.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Company evaluated the arrangement and determined that the proceeds from the sale of future royalties should be treated as a debt instrument according to ASC 470 </w:t>
      </w:r>
      <w:r>
        <w:rPr>
          <w:rFonts w:ascii="Times New Roman;serif" w:hAnsi="Times New Roman;serif"/>
          <w:b w:val="false"/>
          <w:i/>
          <w:color w:val="000000"/>
          <w:sz w:val="20"/>
        </w:rPr>
        <w:t>Debt</w:t>
      </w:r>
      <w:r>
        <w:rPr>
          <w:rFonts w:ascii="Times New Roman;serif" w:hAnsi="Times New Roman;serif"/>
          <w:b w:val="false"/>
          <w:color w:val="000000"/>
          <w:sz w:val="20"/>
        </w:rPr>
        <w:t xml:space="preserve">. The Company imputes interest expense associated with the liability using the effective interest rate method. The effective interest rate is calculated based on the rate that would enable the liability to be repaid in full over the anticipated life of the arrangement. The interest rate on the liability may vary during the term of the agreement depending on a number of factors, including the level of forecasted royalty sales. The Company evaluates the interest rate quarterly based on its expectations of forecasted royalty sales from its license partner, historical experience and current market conditions utilizing the prospective method. A significant increase or decrease in future royalty sales will materially impact the royalty sale liability, interest expense and the time period for repayment. The repayment of the royalty sale liability to the Purchaser does not have a fixed repayment schedule. Rather, it will be completely repaid and extinguished when the Company has repaid an aggregate amount equal to 1.7x of the Purchase Price. The $9.6 million in issuance costs will be amortized through interest expense over the life of the agreement. Royalties are remitted to the Purchaser in the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quarter from when it's earned. The Company recognizes those royalties in accounts receivable, net and accounts payable on the condensed balance sheets until the royalties are remitted to the Purchaser from DSE.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has recorded a liability, referred to as the “Royalty sale liability” on the condensed balance sheets, of $294.2 million, net of $7.4 million of capitalized issuance costs in connection with the royalty sale liability, which will be amortized to interest expense over the estimated term, $2.8 million of which will be amortized over the next 12 months and $4.6 million thereafter. The Company currently expects to repay $94.8 million in the next twelve months. </w:t>
      </w:r>
    </w:p>
    <w:p>
      <w:pPr>
        <w:pStyle w:val="TextBody"/>
        <w:bidi w:val="0"/>
        <w:spacing w:before="0" w:after="0"/>
        <w:jc w:val="left"/>
        <w:rPr/>
      </w:pPr>
      <w:r>
        <w:rPr/>
      </w:r>
    </w:p>
    <w:p>
      <w:pPr>
        <w:pStyle w:val="TextBody"/>
        <w:bidi w:val="0"/>
        <w:spacing w:lineRule="auto" w:line="256"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recorded $14.6 million and $41.0 million in interest expense related to this arrangement for the three and nine months ended September 30, 2025, respectively, which included approximately $0.6 million and $1.5 million, respectively, of amortized issuance costs. The Company recorded $12.0 million in interest expense related to this arrangement for the three and nine months ended September 30, 2024, which included $0.4 million of amortized issuance costs.</w:t>
      </w:r>
    </w:p>
    <w:p>
      <w:pPr>
        <w:pStyle w:val="TextBody"/>
        <w:bidi w:val="0"/>
        <w:spacing w:lineRule="auto" w:line="256" w:before="0" w:after="240"/>
        <w:jc w:val="left"/>
        <w:rPr>
          <w:rFonts w:ascii="Times New Roman;serif" w:hAnsi="Times New Roman;serif"/>
          <w:b w:val="false"/>
          <w:color w:val="000000"/>
          <w:sz w:val="20"/>
        </w:rPr>
      </w:pPr>
      <w:r>
        <w:rPr>
          <w:rFonts w:ascii="Times New Roman;serif" w:hAnsi="Times New Roman;serif"/>
          <w:b w:val="false"/>
          <w:color w:val="000000"/>
          <w:sz w:val="20"/>
        </w:rPr>
        <w:t>The effective annual imputed interest rate is 1.9% as of September 30, 2025.</w:t>
      </w:r>
    </w:p>
    <w:p>
      <w:pPr>
        <w:pStyle w:val="TextBody"/>
        <w:bidi w:val="0"/>
        <w:spacing w:lineRule="auto" w:line="256"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royalty sale liability activity during the nine months ended September 30, 2025 (in thousands):</w:t>
      </w:r>
    </w:p>
    <w:tbl>
      <w:tblPr>
        <w:tblW w:w="5301" w:type="dxa"/>
        <w:jc w:val="left"/>
        <w:tblInd w:w="0" w:type="dxa"/>
        <w:tblLayout w:type="fixed"/>
        <w:tblCellMar>
          <w:top w:w="28" w:type="dxa"/>
          <w:left w:w="28" w:type="dxa"/>
          <w:bottom w:w="28" w:type="dxa"/>
          <w:right w:w="28" w:type="dxa"/>
        </w:tblCellMar>
      </w:tblPr>
      <w:tblGrid>
        <w:gridCol w:w="1488"/>
        <w:gridCol w:w="1306"/>
        <w:gridCol w:w="1316"/>
        <w:gridCol w:w="211"/>
        <w:gridCol w:w="82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royalty sale liability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recognized and settled to Purchaser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recognized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royalty sale liability at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13, 2024, the Company entered into a credit agreement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(the “Loan”), which was borrowed in full at closing. Proceeds from the Loan were used to repay a portion of the outstanding obligations under the Company’s existing $265.0 million aggregate principal amount 4.00% Convertible Senior Subordinated Notes due November 2025 and to pay fees and expenses in connection with the Credit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Loan will bear interest at an annual rate of 9.75% if paid in cash, and 11.75% if paid-in-kind. At the Company’s option, interest on the Loan may be paid-in-kind for the first four full fiscal quarters ending after the closing date. The Company elected to have interest on the Loan paid-in-kind for the second quarter ended June 30, 2025 and for the third quarter ended September 30, 2025. The Credit Agreement requires quarterly interest-only payments for the first four years after the closing date and, thereafter, the Loan will partially amortize in quarterly principal payments of 12.50%, with the outstanding balance to be repaid on the maturity date, which shall be five (5) years after the closing date (the “Maturity Date”); provided that, such amortization may be adjusted pursuant to the terms of the Credit Agreement. The Company may, at its option, prepay the Loan in whole or in part at any time, subject to concurrent payment of certain fees and, if prepaid (a) within the first two years after closing, a make-whole premium plus 3%, (b) after the second anniversary of closing and on or prior to the third anniversary, a prepayment premium of 3% and (c) after the third anniversary of closing and on or prior to the fourth anniversary, a prepayment premium of 1% (the “Prepayment Premium”). The Loan is subject to mandatory prepayment in the event of specified asset dispositions, extraordinary receipts, unpermitted debt issuances, change of control, and, in certain circumstances, failure to settle the exchanges of the Company’s Existing Notes, subject to certain exceptions and thresholds and concurrent payment of certain fees and, if prepaid within the first four years of closing, the applicable Prepayment Premium.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obligations under the Credit Agreement shall be guaranteed by the Company’s present and future wholly owned subsidiaries, subject to customary exceptions, and secured by assets of Company and the guarantors, including the equity interests in the Company’s subsidiaries, subject to customary exceptions. The Credit Agreement contains a financial covenant to maintain minimum liquidity of $50.0 million. The Credit Agreement contains affirmative and negative covenants customary for a senior secured loan. The negative covenants under the Credit Agreement limit the ability of the Company and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Agreement also contains certain customary events of default, including, but not limited to, a failure to comply with the covenants in the Credit Agreement. If an event of default has occurred and continues beyond any applicable cure period, the administrative agent or the required lenders may accelerate all outstanding obligations under the Credit Agreement and/or exercise any other remedies provided under the loan documents.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borrowing of the Loan, the Company incurred 2.5% of original issue discount ("OID"), or approximately $3.8 million. In addition, the Company incurred debt issuance costs of $5.4 million in connection with the borrowing of the Loan. Both the OID and debt issuance costs were capitalized and included in long-term debt on the condensed balance sheets at the inception of the Loan, and are being amortized to interest expense using the effective interest method over the same term. As the Company elected to have interest on the loan paid-in-kind for the quarter ended June 30, 2025 and for the quarter ended September 30, 2025, $4.4 million and $4.6 million, respectively, was added to the principal balance of the Loan. As of September 30, 2025, the Company recognized $151.7 million of long-term debt related to the Credit Agreement on the condensed balance sheets, net of the remaining unamortized discount and debt issuance costs associated with the Loan of $3.0 million and approximately $4.3 million, respectively. During the three and nine months ended September 30, 2025, the Company recognized approximately $5.3 million and approximately $14.4 million, respectively, of interest expense, including $0.6 million and $1.7 million, respectively, of OID and debt issuance costs amortization.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2025 Notes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“2025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2025 Notes are the Company's senior unsecured obligations and mature on November 15, 2025 (the “Maturity Date”), unless earlier repurchased or converted into shares of the Company's common stock, par value $0.001 per share ("common stock"), under certain circumstances described below. The 2025 Notes are convertible into shares of the Company’s common stock, can be repurchased for cash, or a combination thereof, at the Company’s election, at an initial conversion rate of 30.2151 shares of common stock per $1,000 principal amount of the 2025 Notes, which is equivalent to an initial conversion price of approximately $33.096 per share of common stock, subject to adjustment. The Company will pay interest on the 2025 Notes semi-annually in arrears on May 15 and November 15 of each year.</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could have converted their 2025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the Company’s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called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2025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October 22, 2021, the Company entered into a privately negotiated exchange agreement (the “2021 Exchange Agreement”) with two co-managed holders (the “Holders”) of its 2025 Notes. Under the terms of the 2021 Exchange Agreement the Holders agreed to exchange (the “2021 Exchange”) with the Company $15.0 million aggregate principal amount of the Convertible Notes held in the aggregate by them (and accrued interest thereon) for shares of the Company’s common stock. Pursuant to the 2021 Exchange Agreement, the number of shares of common stock to be issued by the Company to the Holders upon consummation of the 2021 Exchange was determined based upon the volume-weighted-average-price per share of common stock, subject to a floor of $5.62 per share, during the five trading-day averaging period, commencing on the trading day immediately following the date of the 2021 Exchange Agreement. The 2021 Exchange closed on November 3, 2021 with 1,094,848 shares of the Company's common stock being exchanged.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12, 2024, the Company entered into privately negotiated exchange and subscription agreements with certain holders of its 4.00% Convertible Senior Subordinated Notes due 2025 (the “2025 Notes”) pursuant to which the Company issued $100.0 million aggregate principal amount of 5.75% Convertible Senior Subordinated Notes due in June 2030 (the “2030 Notes”) consisting of (a) approximately $57.5 million principal amount of 2030 Notes, along with approximately $153.4 million in cash, including accrued interest, issued in exchange for approximately $210.1 million principal amount of 2025 Notes (the “Exchange Transaction”). The Company also issued and sold approximately $42.5 million aggregate principal amount of 2030 Notes for cash, pursuant to privately negotiated agreements (the “Subscription Transactions” and, together with the Exchange Transaction, the “Transaction”). The Exchange Transaction closed on December 17, 2024 under an Indenture between the Company and U.S. Bank Trust Company, National Association, as trustee. In exchange for issuing the 2030 Notes pursuant to the Exchange Transaction, the Company received and cancelled the exchanged 2025 Notes.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Exchange as an extinguishment of a liability and calculated the loss on extinguishment of debt under ASC 470-50-40, which requires the difference between the reacquisition price of the debt and the net carrying amount of the extinguished debt to be recognized in the income statement. The reacquisition price of the 2025 Notes was the amount of principal exchanged. The net carrying amount of the debt was calculated by the face value of the notes less the unamortized debt issuance costs associated with the face value of the notes. The Company recognized a loss of $1.7 million in "Loss on extinguishment of debt and exchange transaction" on the statements of operations and comprehensive loss during the year ended December 31, 2024.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principal amount of 2025 Notes was $54.9 million, and the unamortized debt issuance costs was less than $0.1 million, for a net carrying amount of $54.9 million. As of December 31, 2024, the principal amount of 2025 Notes was $54.9 million, and the unamortized debt discount and issuance costs were $0.3 million, for a net carrying amount of $54.6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recorded $0.6 million and $1.9 million of interest expense during the three and nine months ended September 30, 2025, respectively, relating to the cash interest on the 2025 Notes due semi-annually and including the amortization of the debt issuance costs of $0.1 million and $0.3 million, respectively. The Company recorded approximately $3.0 million and $9.2 million of interest expense during the three and nine months ended September 30, 2024, respectively, relating to the cash interest on the 2025 Notes due semi-annually and including the amortization of the debt issuance costs of $0.4 million and $1.3 million, respectively.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no 2025 Notes were convertible pursuant to their terms. The estimated fair value of the 2025 Notes was $54.6 million as of September 30, 2025 and $53.2 million as of December 31, 2024. The estimated fair value of the 2025 Notes was determined through consideration of quoted market prices. As of September 30, 2025, the if-converted value of the 2025 Notes did not exceed the principal value of those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As noted above, the Company issued $100.0 million aggregate principal amount of 5.75% Convertible Senior Subordinated Notes due 2030 (the “2030 Notes”) on December 17, 2024. The Company incurred approximately $3.3 million of issuance costs associated with the 2030 Notes.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2030 Notes mature on June 15, 2030, unless earlier converted, redeemed or repurchased. The 2030 Notes are the Company’s senior unsecured obligations and will pay interest on the 2030 Notes at an annual rate of 5.75% payable in cash semiannually in arrears on June 15 and December 15 of each year, beginning June 15, 2025. Before March 15, 2030, holders of the 2030 Notes will have the right to convert their notes only upon the occurrence of certain events. From and after March 15, 2030, holders may convert their notes at any time at their election until the close of business on the second scheduled trading day immediately before the maturity date. The Company will have the right to elect to settle conversions by paying or delivering, as applicable, cash, shares of its common stock or a combination of cash and shares of its common stock. The initial conversion rate is 326.7974 shares of common stock per $1,000 principal amount of notes, which represents an initial conversion price of approximately $3.06 per share of common stock. The conversion rate and conversion price will be subject to adjustment upon the occurrence of certain events. The indenture governing the 2030 Notes includes certain restrictive covenants that limit the Company’s ability to incur additional indebtedness, subject to certain exceptions.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2030 Notes will be redeemable, in whole or in part, for cash at the Company’s option at any time, and from time to time, on or after December 20, 2027 and prior to the forty-first (41st) scheduled trading day immediately before the maturity date, but only if the last reported sale price per share exceeds 130% of the conversion price for a specified period of time and certain other conditions are satisfied. The redemption price will be equal to the principal amount of the 2030 Notes to be redeemed, plus accrued and unpaid interest, if any, to, but excluding, the redemption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if the Company undergoes a “fundamental change” (as defined in the Indenture), subject to certain conditions, holders may require the Company to repurchase for cash all or part of their 2030 Notes in principal amounts of $1,000 or an integral multiple thereof. The repurchase price will be equal to the principal amount of the 2030 Notes to be repurchased, plus accrued and unpaid interest, if any, to, but excluding, the applicable repurchase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Indenture provides for customary events of default, including payment defaults, breaches of covenants, failure to pay certain judgments and certain events of bankruptcy, insolvency and reorganization. If an event of default occurs and is continuing, the principal amount of the 2030 Notes, plus accrued and unpaid interest, if any, may be declared immediately due and payable, subject to certain conditions set forth in the Indenture. These amounts automatically become due and payable if an event of default relating to certain events of bankruptcy, insolvency or reorganization occurs.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principal amount of 2030 Notes was $100.0 million, and the unamortized debt issuance costs were $2.9 million, for a net carrying amount of $97.1 million. As of December 31, 2024, the principal amount of 2030 Notes was $100.0 million, and the unamortized debt issuance costs were $3.3 million, for a net carrying amount of $96.7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$1.6 million and $4.7 million, respectively, of interest expense during the three and nine months ended September 30, 2025 relating to the cash interest on the 2030 Notes due semi-annually and including amortization of the debt issuance costs of $0.1 million and $0.4 million, respectively.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no 2030 Notes were convertible pursuant to their terms. The estimated fair value of the 2030 Notes was $119.0 million as of September 30, 2025 and $105.4 million as of December 31, 2024. The estimated fair value of the 2030 Notes was determined through consideration of quoted market prices. As of September 30, 2025, the if-converted value of the 2030 Notes did not exceed the principal value of those notes.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compliance with all of its covenants at September 30,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Estimated future principal payments due under the Loan, 2025 Notes and 2030 Notes are as follows:</w:t>
      </w:r>
    </w:p>
    <w:p>
      <w:pPr>
        <w:pStyle w:val="TextBody"/>
        <w:bidi w:val="0"/>
        <w:spacing w:before="0" w:after="0"/>
        <w:jc w:val="left"/>
        <w:rPr/>
      </w:pPr>
      <w:r>
        <w:rPr/>
      </w:r>
    </w:p>
    <w:tbl>
      <w:tblPr>
        <w:tblW w:w="4121" w:type="dxa"/>
        <w:jc w:val="left"/>
        <w:tblInd w:w="0" w:type="dxa"/>
        <w:tblLayout w:type="fixed"/>
        <w:tblCellMar>
          <w:top w:w="28" w:type="dxa"/>
          <w:left w:w="28" w:type="dxa"/>
          <w:bottom w:w="28" w:type="dxa"/>
          <w:right w:w="28" w:type="dxa"/>
        </w:tblCellMar>
      </w:tblPr>
      <w:tblGrid>
        <w:gridCol w:w="895"/>
        <w:gridCol w:w="788"/>
        <w:gridCol w:w="791"/>
        <w:gridCol w:w="109"/>
        <w:gridCol w:w="109"/>
        <w:gridCol w:w="109"/>
        <w:gridCol w:w="231"/>
        <w:gridCol w:w="921"/>
        <w:gridCol w:w="168"/>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313,898</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offering of the 2025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2025 Notes to pay the cost of the capped call transactions. The capped call transactions are expected generally to reduce potential dilution to the Company’s common stock upon any conversion of the 2025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2025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2025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Given that the transactions meet certain accounting criteria, the convertible note capped call transactions are recorded in stockholders’ deficit, and they are not accounted for as derivatives and are not remeasured each reporting period. As of September 30, 2025, the Company had not purchased any shares under the convertible note capped call transactions.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Prepaid Forward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offering of the 2025 Notes, the Company entered into a prepaid forward stock repurchase transaction (“Prepaid Forward”) with a financial institution (“Forward Counterparty”). Pursuant to the Prepaid Forward, the Company used approximately $55.0 million of the net proceeds from the offering of the 2025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September 30, 2025, 576,107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Other Accrued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 consist of the following (in thousands):</w:t>
      </w:r>
    </w:p>
    <w:tbl>
      <w:tblPr>
        <w:tblW w:w="5755" w:type="dxa"/>
        <w:jc w:val="center"/>
        <w:tblInd w:w="0" w:type="dxa"/>
        <w:tblLayout w:type="fixed"/>
        <w:tblCellMar>
          <w:top w:w="28" w:type="dxa"/>
          <w:left w:w="28" w:type="dxa"/>
          <w:bottom w:w="28" w:type="dxa"/>
          <w:right w:w="28" w:type="dxa"/>
        </w:tblCellMar>
      </w:tblPr>
      <w:tblGrid>
        <w:gridCol w:w="1140"/>
        <w:gridCol w:w="1001"/>
        <w:gridCol w:w="1008"/>
        <w:gridCol w:w="231"/>
        <w:gridCol w:w="790"/>
        <w:gridCol w:w="119"/>
        <w:gridCol w:w="109"/>
        <w:gridCol w:w="109"/>
        <w:gridCol w:w="109"/>
        <w:gridCol w:w="221"/>
        <w:gridCol w:w="757"/>
        <w:gridCol w:w="161"/>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legal fees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convertible notes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Stock Compensation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2022 Stock Option and Incentive Plan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2022, the Company’s board of directors (the “Board”) approved the Esperion Therapeutics, Inc. 2022 Stock Option and Incentive Plan (as amended, the “2022 Plan”), which was approved by the Company's stockholders in May 2022.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Amended and Restated 2013 Stock Option and Incentive Plan (the “2013 Plan”). In April 2023, the Board approved a first amendment to the 2022 Plan, which was approved by the Company's stockholders in June 2023, which increased the number of shares of Common Stock reserved for awards under the 2022 Plan to 10,650,000. In April 2024, the Board approved a second amendment to the 2022 Plan, which was approved by the Company's stockholders in May 2024, which increased the number of shares of Common Stock reserved for awards under the 2022 Plan to 16,900,000. In April 2025, the Board approved a third amendment to the 2022 Plan, which was approved by the Company's stockholders in May 2025, which increased the number of shares of Common Stock reserved for awards under the 2022 Plan to 23,150,000.</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2020, the Board approved the Esperion Therapeutics, Inc. 2020 Employee Stock Purchase Plan (as amended, the "ESPP"), which was approved by the Company's stockholders in May 2020 and was subsequently amended by a first amendment to the ESPP adopted by the Board in July 2020. The ESPP allows eligible employees to authorize payroll deductions of up to 10% of their base salary or wages up to $25,000 annually to be applied toward the purchase of shares of Common Stock on the last trading day of the offering period. Participating employees will purchase shares of Common Stock at a discount of up to 15% on the lesser of the closing price of Common Stock on the NASDAQ Global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During the three and nine months ended September 30, 2025, the Company recognized $0.1 million and $0.3 million respectively, of stock compensation expense related to the ESPP. During the three and nine months ended September 30, 2024, the Company recognized no stock compensation expense related to the ESPP. In April 2024, the Board approved a second amendment to the ESPP, which was approved by the Company's stockholders in May 2024, which increased the number of shares of Common Stock reserved for future issuance under the ESPP by an additional 6,175,000 shares. As of September 30, 2025, there have been 1,307,380 shares issued and 5,692,620 shares reserved for future issuance under the ESPP.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2017 Inducement Equity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May 2017, the Board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available for issuance under the 2017 Plan. The 2017 Plan provides for the granting of stock options, stock appreciation rights, restricted stock awards, restricted stock units ("RSUs"), unrestricted stock awards and dividend equivalent rights.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relating to the Company’s options to purchase Common Stock for the nine months ended September 30, 2025:</w:t>
      </w:r>
    </w:p>
    <w:tbl>
      <w:tblPr>
        <w:tblW w:w="10205" w:type="dxa"/>
        <w:jc w:val="left"/>
        <w:tblInd w:w="0" w:type="dxa"/>
        <w:tblLayout w:type="fixed"/>
        <w:tblCellMar>
          <w:top w:w="28" w:type="dxa"/>
          <w:left w:w="28" w:type="dxa"/>
          <w:bottom w:w="28" w:type="dxa"/>
          <w:right w:w="28" w:type="dxa"/>
        </w:tblCellMar>
      </w:tblPr>
      <w:tblGrid>
        <w:gridCol w:w="1156"/>
        <w:gridCol w:w="635"/>
        <w:gridCol w:w="639"/>
        <w:gridCol w:w="499"/>
        <w:gridCol w:w="483"/>
        <w:gridCol w:w="306"/>
        <w:gridCol w:w="109"/>
        <w:gridCol w:w="109"/>
        <w:gridCol w:w="109"/>
        <w:gridCol w:w="446"/>
        <w:gridCol w:w="1305"/>
        <w:gridCol w:w="231"/>
        <w:gridCol w:w="109"/>
        <w:gridCol w:w="109"/>
        <w:gridCol w:w="109"/>
        <w:gridCol w:w="748"/>
        <w:gridCol w:w="748"/>
        <w:gridCol w:w="750"/>
        <w:gridCol w:w="109"/>
        <w:gridCol w:w="109"/>
        <w:gridCol w:w="109"/>
        <w:gridCol w:w="273"/>
        <w:gridCol w:w="799"/>
        <w:gridCol w:w="206"/>
      </w:tblGrid>
      <w:tr>
        <w:trPr/>
        <w:tc>
          <w:tcPr>
            <w:tcW w:w="115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5,177,511 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2,201,040 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(791,125)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6,551,266 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September 30, 2025</w:t>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6,551,266 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3,357,997 </w:t>
            </w:r>
          </w:p>
        </w:tc>
        <w:tc>
          <w:tcPr>
            <w:tcW w:w="3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related to stock options was $0.6 million and $2.2 million, respectively, for the three and nine months ended September 30, 2025, including $0.1 million and $0.2 million, respectively, that was capitalized into inventory, and $1.2 million and $3.2 million, respectively, for the three and nine months ended September 30, 2024, including less than $0.1 million and $0.2 million, respectively, that was capitalized into inventory. As of September 30, 2025, there was $4.3 million of unrecognized stock-based compensation expense related to unvested options, which will be recognized over a weighted-average period of 2.4 years.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Performance-Based Stock Options ("PBSOs")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performance criteria was met in three months ended March 31, 2024.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relating to the Company’s PBSOs for the nine months ended September 30, 2025:</w:t>
      </w:r>
    </w:p>
    <w:tbl>
      <w:tblPr>
        <w:tblW w:w="10205" w:type="dxa"/>
        <w:jc w:val="left"/>
        <w:tblInd w:w="0" w:type="dxa"/>
        <w:tblLayout w:type="fixed"/>
        <w:tblCellMar>
          <w:top w:w="28" w:type="dxa"/>
          <w:left w:w="28" w:type="dxa"/>
          <w:bottom w:w="28" w:type="dxa"/>
          <w:right w:w="28" w:type="dxa"/>
        </w:tblCellMar>
      </w:tblPr>
      <w:tblGrid>
        <w:gridCol w:w="1165"/>
        <w:gridCol w:w="652"/>
        <w:gridCol w:w="655"/>
        <w:gridCol w:w="499"/>
        <w:gridCol w:w="388"/>
        <w:gridCol w:w="311"/>
        <w:gridCol w:w="109"/>
        <w:gridCol w:w="109"/>
        <w:gridCol w:w="109"/>
        <w:gridCol w:w="510"/>
        <w:gridCol w:w="1237"/>
        <w:gridCol w:w="265"/>
        <w:gridCol w:w="109"/>
        <w:gridCol w:w="109"/>
        <w:gridCol w:w="109"/>
        <w:gridCol w:w="764"/>
        <w:gridCol w:w="764"/>
        <w:gridCol w:w="765"/>
        <w:gridCol w:w="109"/>
        <w:gridCol w:w="109"/>
        <w:gridCol w:w="109"/>
        <w:gridCol w:w="315"/>
        <w:gridCol w:w="697"/>
        <w:gridCol w:w="237"/>
      </w:tblGrid>
      <w:tr>
        <w:trPr/>
        <w:tc>
          <w:tcPr>
            <w:tcW w:w="11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632,950 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September 30, 2025</w:t>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8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443,500 </w:t>
            </w:r>
          </w:p>
        </w:tc>
        <w:tc>
          <w:tcPr>
            <w:tcW w:w="3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stock-based compensation related to PBSOs for the three and nine months ended September 30, 2025 and for the three months ended September 30, 2024. Stock-based compensation related to PBSOs for the nine months ended September 30, 2024 was $0.5 million. As of September 30, 2025, there was no unrecognized stock-based compensation expense related to unvested PBSOs.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 ("RSUs")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relating to the Company’s RSUs for the nine months ended September 30, 2025:</w:t>
      </w:r>
    </w:p>
    <w:tbl>
      <w:tblPr>
        <w:tblW w:w="7119" w:type="dxa"/>
        <w:jc w:val="left"/>
        <w:tblInd w:w="0" w:type="dxa"/>
        <w:tblLayout w:type="fixed"/>
        <w:tblCellMar>
          <w:top w:w="28" w:type="dxa"/>
          <w:left w:w="28" w:type="dxa"/>
          <w:bottom w:w="28" w:type="dxa"/>
          <w:right w:w="28" w:type="dxa"/>
        </w:tblCellMar>
      </w:tblPr>
      <w:tblGrid>
        <w:gridCol w:w="1419"/>
        <w:gridCol w:w="1244"/>
        <w:gridCol w:w="1252"/>
        <w:gridCol w:w="524"/>
        <w:gridCol w:w="526"/>
        <w:gridCol w:w="311"/>
        <w:gridCol w:w="109"/>
        <w:gridCol w:w="109"/>
        <w:gridCol w:w="109"/>
        <w:gridCol w:w="365"/>
        <w:gridCol w:w="884"/>
        <w:gridCol w:w="267"/>
      </w:tblGrid>
      <w:tr>
        <w:trPr/>
        <w:tc>
          <w:tcPr>
            <w:tcW w:w="141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Fair Value Per </w:t>
              <w:br/>
              <w:t>Share</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4,447,074 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5,578,530 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(1,964,567)</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unvested September 30,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7,283,237 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RSUs was approximately $1.7 million and $5.0 million, respectively, for the three and nine months ended September 30, 2025, including $0.2 million and $0.4 million, respectively, that was capitalized into inventory, and $1.8 million and $5.3 million, respectively, for the three and nine months ended September 30, 2024, including less than $0.1 million and $0.3 million, respectively, that was capitalized into inventory. As of September 30, 2025, there was $13.2 million of unrecognized stock-based compensation expense related to unvested RSUs, which will be recognized over a weighted-average period of 2.7 years.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Performance-based Restricted Stock Units ("PBRSUs")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Common Stock on the date of grant. The performance criteria was met in three months ended March 31, 2024.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stock-based compensation related to PBRSUs for the three and nine months ended September 30, 2025 and for the three months ended September 30, 2024. Stock-based compensation related to PBRSUs was $0.2 million for the nine months ended September 30, 2024, including less than $0.1 million that was capitalized into inventory. As of September 30, 2025, there was no unrecognized stock-based compensation expense related to unvested PBRSUs and no outstanding and unvested PBRSUs.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 in each of the income statement line items for the three and nine months ended September 30, 2025 and 2024:</w:t>
      </w:r>
    </w:p>
    <w:tbl>
      <w:tblPr>
        <w:tblW w:w="8418" w:type="dxa"/>
        <w:jc w:val="left"/>
        <w:tblInd w:w="0" w:type="dxa"/>
        <w:tblLayout w:type="fixed"/>
        <w:tblCellMar>
          <w:top w:w="28" w:type="dxa"/>
          <w:left w:w="28" w:type="dxa"/>
          <w:bottom w:w="28" w:type="dxa"/>
          <w:right w:w="28" w:type="dxa"/>
        </w:tblCellMar>
      </w:tblPr>
      <w:tblGrid>
        <w:gridCol w:w="1071"/>
        <w:gridCol w:w="939"/>
        <w:gridCol w:w="944"/>
        <w:gridCol w:w="249"/>
        <w:gridCol w:w="727"/>
        <w:gridCol w:w="128"/>
        <w:gridCol w:w="128"/>
        <w:gridCol w:w="128"/>
        <w:gridCol w:w="128"/>
        <w:gridCol w:w="249"/>
        <w:gridCol w:w="727"/>
        <w:gridCol w:w="128"/>
        <w:gridCol w:w="109"/>
        <w:gridCol w:w="109"/>
        <w:gridCol w:w="109"/>
        <w:gridCol w:w="239"/>
        <w:gridCol w:w="700"/>
        <w:gridCol w:w="123"/>
        <w:gridCol w:w="123"/>
        <w:gridCol w:w="123"/>
        <w:gridCol w:w="123"/>
        <w:gridCol w:w="239"/>
        <w:gridCol w:w="700"/>
        <w:gridCol w:w="175"/>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provision for income taxes for the three and nine months ended September 30, 2025 and 2024, because the Company has incurred annual operating losses since inception. At September 30, 2025, the Company continues to conclude that it is not more likely than not that the Company will realize the benefit of its deferred tax assets due to its history of losses. Accordingly, a full valuation allowance has been applied against the net deferred tax assets.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July 3, 2025, the United States Congress passed, and on July 4, 2025, President Trump signed into law, budget reconciliation bill H.R. 1 referred to as the One Big Beautiful Bill Act (the “OBBBA”). The OBBBA contains several changes to corporate taxation including modifications to capitalization of research and development expenses, limitations on deductions for interest expense and accelerated fixed asset depreciation, among others. The OBBBA contains various effective dates with certain provisions effective in 2025 and others effective in 2026 and beyond. ASC 740,</w:t>
      </w:r>
      <w:r>
        <w:rPr>
          <w:color w:val="000000"/>
        </w:rPr>
        <w:t xml:space="preserve"> </w:t>
      </w:r>
      <w:r>
        <w:rPr>
          <w:rFonts w:ascii="Times New Roman;serif" w:hAnsi="Times New Roman;serif"/>
          <w:b w:val="false"/>
          <w:i/>
          <w:color w:val="000000"/>
          <w:sz w:val="20"/>
        </w:rPr>
        <w:t>Income Taxes</w:t>
      </w:r>
      <w:r>
        <w:rPr>
          <w:rFonts w:ascii="Times New Roman;serif" w:hAnsi="Times New Roman;serif"/>
          <w:b w:val="false"/>
          <w:color w:val="000000"/>
          <w:sz w:val="20"/>
        </w:rPr>
        <w:t>, requires the impact of changes in tax laws to be recognized in the financial statements as of the date of enactment. The Company has evaluated and considered the provisions of the OBBBA in the current quarter, and has concluded there is no material impact on the Company’s 2025 effective tax rate.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segment. The majority of the Company's business consists of researching, developing and commercializing therapies for the treatment of patients with elevated LDL-C. The segment derives net product sales through sale of its NEXLETOL and NEXLIZET tablets to customers in the United States and through collaboration agreements with other third party companies to develop, manufacture and commercialize its products outside the United States. Net product sales were $40.7 million and $115.8 million for the three and nine months ended September 30, 2025. Net product sales were $31.1 million and $84.2 million for the three and nine months ended September 30, 2024, respectively. Collaboration revenue, which includes milestone payments, royalty revenues and sales of the Company's tablets to its collaboration partners, was $46.7 million and $118.8 million for the three and nine months ended September 30, 2025, respectively. Collaboration revenue was $20.5 million and $179.0 million for the three and nine months ended September 30, 2024, respectively. During the three and nine months ended September 30, 2025, collaboration revenue was primarily derived in Europe from the Company's partner, DSE. During the year ended December 31, 2024, collaboration revenue was primarily derived in Europe and Japan from the Company's partners, DSE and Otsuka. The Company manages the business activities on a consolidated basis. The accounting policies of the segment are the same as those described in Note 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is the Chief Executive Officer ("CODM"). The CODM assesses the performance of the Company and decides how to allocate resources based on revenues and net (loss) income, which is reported on the statements of operations. The chief operating decision maker also assesses performance by reviewing net cash (used in) provided by operating expenses, which is reported on the statements of cash flows. The measure of segment assets is reported on the balance sheets as total assets. The chief operating decision maker also reviews cash and cash equivalents. A significant component of the CODM's decision-making process is to ensure a balanced investment in research and development, as well as commercial activities to drive near-term success and sustain for the long term.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Stockholders' Deficit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October 2025 Offering </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Subsequent to the quarter ended September 30, 2025, on October 7, 2025, the Company entered into an Underwriting Agreement (the “2025 Underwriting Agreement”) with Piper Sandler &amp; Co. and Cantor Fitzgerald &amp; Co., as representative of the several underwriters (collectively, the “2025 Underwriters”), related to an underwritten public offering (the “2025 Offering”) of 30,000,000 shares (the “2025 Underwritten Shares”) of the Company’s Common Stock, at a public offering price of $2.50 per share. In addition, under the terms of the 2025 Underwriting Agreement, the underwriters were granted a 30-day option to purchase up to an additional 4,500,000 shares of Common Stock, at the public offering price. On October 10, 2025, the 2025 Underwriters gave notice to the Company of their partial election to exercise the underwriters' option to purchase 1,065,000 additional shares, which closed on October 14, 2025. Giving effect to the partial exercise of the underwriters' option, the Company issued an aggregate of 31,065,000 shares of Common Stock in the 2025 Offering, with net proceeds to the Company of approximately $72.6 million, after deducting the underwriting discount and offering expenses of approximately $5.1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January 2024 Offering</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On January 18, 2024, the Company entered into an underwriting agreement (the "2024 Underwriting Agreement") with Jefferies LLC ("Jefferies"), as representative of the underwriters (the "2024 Underwriters"), related to an underwritten public offering (the "January 2024 Offering") of 56,700,000 shares of Common Stock of the Company, at a purchase price to the public of $1.50 per share. The 2024 Underwriters were also granted a 30-day option to purchase up to an additional 8,505,000 shares of Common Stock, at the public offering price. On January 19, 2024, Jefferies gave notice to the Company of its election to exercise the Underwriters' option to purchase additional shares, in full. Giving effect to the exercise of 2024 Underwriters' option, the January 2024 Offering closed on January 23, 2024, with net proceeds to the Company of approximately $90.7 million, after deducting the underwriting discount and offering expenses of $7.1 million.</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ATM Offering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21, 2023, the Company entered into a Controlled Equity Offering Sales Agreement with Cantor Fitzgerald &amp; Co., as sales agent, to provide for the issuance and sale by the Company of up to $70.0 million of shares of Common Stock from time to time in “at-the-market” offerings (the "2023 ATM Program"), pursuant to its shelf registration statement on Form S-3 (File No. 333-286631) filed with the SEC on April 18, 2025, including the sales agreement prospectus contained therein, as declared effective by the SEC on April 29, 2025. The Company may continue to use the 2023 ATM Program to address potential short-term or long-term funding requirements that may arise. Such program will continue to be subject to the volatility of the price of Common Stock and general market conditions. During the three and nine months ended September 30, 2025, the Company issued 4,170,000 and 6,835,505 shares of Common Stock, respectively, resulting in net proceeds of approximately $10.5 million and $13.3 million after deducting $0.4 million and $0.8 million of sales agent commissions and other expenses, respectively, pursuant to the 2023 ATM Program. During the three and nine months ended September 30, 2024, the Company issued 378,902 shares of common stock resulting in net proceeds of approximately $0.5 million after deducting approximately $0.2 million of commissions and expense reimbursement payable to sales agent and other expenses, pursuant to the 2023 ATM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Warrants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an underwriting agreement with H.C. Wainwright &amp; Co., LLC ("Wainwright") on December 2, 2021, (the "December 2021 Offering"), the Company issued warrants to purchase 36,964,286 shares of Common Stock at an exercise price of $9.00 and an expiration date of December 7, 2023. The warrants were recorded at fair value of $61.9 million to additional-paid-in-capital in accordance with ASC 815-10 based upon the allocation of the proceeds between the shares of Common Stock issued with the December 2021 Offering and the warrants. On December 7, 2023, 27,940,074 of these warrants expired. The remaining 9,024,212 warrants were amended as described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Registered Direct Offering and Warrant Amendment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19, 2023, the Company entered into a purchase agreement (the "2023 Purchase Agreement") with the Purchasers named therein (the "Purchasers") pursuant to which the Company agreed to issue and sell, in a registered direct offering (the "Registered Direct Offering"), 12,205,000 shares of Common Stock, pre-funded warrants ("Pre-Funded Warrants") to purchase up to an aggregate of 20,965,747 shares of Common Stock in lieu of shares of Common Stock, and warrants ("Warrants") to purchase up to 33,170,747 shares of Common Stock. The combined purchase price of each share of Common Stock and accompanying Warrant is $1.675 per share. The Warrants expire on September 22, 2026 and have an exercise price of $1.55. The purchase price of each Pre-Funded Warrant is $1.674 (equal to the combined purchase price per share of Common Stock and accompanying Warrant, minus $0.001). The 2023 Purchase Agreement contains customary representations, warranties, covenants and indemnification rights and obligations of the Company and the Purchasers. The Registered Direct Offering closed on March 22, 2023. The Warrants and Pre-Funded Warrants were recorded at fair value of $22.8 million to additional-paid-in-capital in accordance with ASC 815-10 based upon the allocation of the proceeds between the shares of Common Stock issued with the Registered Direct Offering and the Warrants and Pre-Funded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 The Company estimated the fair value of the Pre-Funded Warrants based on the market price of Common Stock at issuance.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Registered Direct Offering, the Company amended, pursuant to Warrant Amendment Agreements, certain existing warrants to purchase up to an aggregate of 9,024,212 shares of Common Stock that were previously issued in December 2021 at an exercise price of $9.00 per share and had an expiration date of December 7, 2023, effective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received gross proceeds of approximately $55.5 million from the Registered Direct Offering, before deducting placement agent fees and related offering expenses. The net proceeds to the Company from the Registered Direct Offering, after deducting the placement agent fees and expenses and the Company’s offering expenses of $4.2 million, were approximately $51.3 million. In addition, the Company received approximately $1.2 million as the gross consideration in connection with the Warrant Amendment Agreements. The net proceeds of the Warrant Amendment Agreements after deducting placement fees of $0.1 million were approximately $1.1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no Pre-Funded Warrants were outstanding. During the three and nine months ended September 30, 2025, no warrants were exercised. During the three and nine months ended September 30, 2024, no warrants and 10,272,783 warrants were exercised, respectively. The following table summarizes the warrants outstanding for the Company as of September 30, 2025 and December 31, 2024:</w:t>
      </w:r>
    </w:p>
    <w:tbl>
      <w:tblPr>
        <w:tblW w:w="10205" w:type="dxa"/>
        <w:jc w:val="center"/>
        <w:tblInd w:w="0" w:type="dxa"/>
        <w:tblLayout w:type="fixed"/>
        <w:tblCellMar>
          <w:top w:w="28" w:type="dxa"/>
          <w:left w:w="28" w:type="dxa"/>
          <w:bottom w:w="28" w:type="dxa"/>
          <w:right w:w="28" w:type="dxa"/>
        </w:tblCellMar>
      </w:tblPr>
      <w:tblGrid>
        <w:gridCol w:w="1608"/>
        <w:gridCol w:w="1411"/>
        <w:gridCol w:w="1418"/>
        <w:gridCol w:w="589"/>
        <w:gridCol w:w="542"/>
        <w:gridCol w:w="469"/>
        <w:gridCol w:w="109"/>
        <w:gridCol w:w="109"/>
        <w:gridCol w:w="109"/>
        <w:gridCol w:w="574"/>
        <w:gridCol w:w="542"/>
        <w:gridCol w:w="454"/>
        <w:gridCol w:w="109"/>
        <w:gridCol w:w="109"/>
        <w:gridCol w:w="109"/>
        <w:gridCol w:w="467"/>
        <w:gridCol w:w="1132"/>
        <w:gridCol w:w="345"/>
      </w:tblGrid>
      <w:tr>
        <w:trPr/>
        <w:tc>
          <w:tcPr>
            <w:tcW w:w="160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outstanding from Warrant Amendment Agreements, expiring September 22, 2026</w:t>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6,071,429 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6,071,429 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Warrants outstanding from 2023 Purchase Agreement, expiring September 22, 2026</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warrants outstanding</w:t>
            </w:r>
          </w:p>
        </w:tc>
        <w:tc>
          <w:tcPr>
            <w:tcW w:w="11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26,071,429 </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26,071,429 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Net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and the if-converted method for shares issuable upon conversion of convertible notes.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shares outstanding at the end of the respective periods presented below were excluded from the calculation of diluted net loss per share due to their anti-dilutive effect:</w:t>
      </w:r>
    </w:p>
    <w:tbl>
      <w:tblPr>
        <w:tblW w:w="7698" w:type="dxa"/>
        <w:jc w:val="center"/>
        <w:tblInd w:w="0" w:type="dxa"/>
        <w:tblLayout w:type="fixed"/>
        <w:tblCellMar>
          <w:top w:w="28" w:type="dxa"/>
          <w:left w:w="28" w:type="dxa"/>
          <w:bottom w:w="28" w:type="dxa"/>
          <w:right w:w="28" w:type="dxa"/>
        </w:tblCellMar>
      </w:tblPr>
      <w:tblGrid>
        <w:gridCol w:w="1602"/>
        <w:gridCol w:w="1406"/>
        <w:gridCol w:w="1417"/>
        <w:gridCol w:w="109"/>
        <w:gridCol w:w="109"/>
        <w:gridCol w:w="109"/>
        <w:gridCol w:w="540"/>
        <w:gridCol w:w="541"/>
        <w:gridCol w:w="156"/>
        <w:gridCol w:w="137"/>
        <w:gridCol w:w="137"/>
        <w:gridCol w:w="137"/>
        <w:gridCol w:w="540"/>
        <w:gridCol w:w="541"/>
        <w:gridCol w:w="217"/>
      </w:tblGrid>
      <w:tr>
        <w:trPr/>
        <w:tc>
          <w:tcPr>
            <w:tcW w:w="16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under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6,551,266 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5,177,511 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under PBSOs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632,950 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4,969,108 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related to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conversion of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34,338,912 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8,007,010 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26,071,429 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26,071,429 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 dilutive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74,759,082 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44,897,299 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2024 and other filings that we make with the Securities and Exchange Commission (the "SEC").</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marketing strategy, clinical development and commercialization plans, or our future financial performance and involve known and unknown risks, uncertainties and other factors that may cause our actual results, performance or achievements, including in relation to our ability to remediate the material weakness in our internal control over financial reporting, the clinical development, commercialization plans, timing, designs and plans for the CLEAR Outcomes study and its results, plans for potential future product candidates and expectations regarding future transactions to further improve our balance sheet to be materially different from any future results, performance or achievements, including in relation to the clinical development, commercialization plans, net sales profitability, growth of our commercial products, clinical activities, commercial development plans, the outcomes and anticipated benefits of legal proceedings and settlements, expressed or implied by these forward-looking statements.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forward-looking statements in this Quarterly Report on Form 10-Q represent our views as of the date of this Quarterly Report on Form 10-Q. Except as required by law, we undertake no obligation to update any forward-looking statements to reflect events or circumstances after the date of such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we use the terms "Esperion," “we,” “us,” “our,” or the "Company” in this Quarterly Report on Form 10-Q to refer to Esperion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Corporate Overview</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or CVD, and are struggling with elevated low-density lipoprotein cholesterol, or LDL-C. Through commercial execution, international partnerships and collaborations, and advancement of our pre-clinical pipeline, we continue to evolve into a leading global biopharmaceutical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CVD or at high risk for a CVD event but without established CVD, and to reduce LDL-C in adults with primary hyperlipidemia. Our products were approved by the FDA, the European Commission, or EC, and Swiss Agency for Therapeutic Products, or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or Otsuka, our Japanese collaborator, announced that the primary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endpoint of LDL-C reduction from baseline at Week 12 was achieved with statistical significance in the Phase 3 clinical trial in Japan for bempedoic acid as a treatment for hypercholesterolemia. Otsuka received approval from the Japanese Ministry of Health, Labour and Welfare to market NEXLETOL as a treatment for hypercholesterolemia and familial hypercholesterolemia in September 2025, with expected National Health Insurance, or NHI, pricing in the fourth quarter of 2025. We filed supplemental NDAs for product approvals in Canada in November 2024, with expected approval in the fourth quarter of 2025. Our collaboration partners filed in Israel in March 2025, with expected approval in the first half of 2026, and in Australia in July 2025, with expected approval in the fourth quarter of 2026.</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interest and royalty interest purchase agreements. We have incurred losses in each year since our inception.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been profitable. Our net losses were $31.3 million and $84.5 million, respectively, for the three and nine months ended September 30, 2025. Our net losses were $29.5 million and $30.4 million, respectively, for the three and nine months ended September 30, 2024. Substantially all of our net losses resulted from costs incurred in connection with research and development programs and selling, general and administrative costs associated with our operations. We expect to incur expenses and operating losses for the immediate future in connection with our ongoing activities, including, among others: </w:t>
      </w:r>
    </w:p>
    <w:p>
      <w:pPr>
        <w:pStyle w:val="TextBody"/>
        <w:bidi w:val="0"/>
        <w:spacing w:before="0" w:after="0"/>
        <w:jc w:val="left"/>
        <w:rPr/>
      </w:pPr>
      <w:r>
        <w:rPr/>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0"/>
        </w:rPr>
        <w:t>commercializing NEXLETOL and NEXLIZET in the U.S.;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pursuing other research and development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when needed or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Overview</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NEXLETOL is a first-in-class ATP Citrate Lyase, or ACLY,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CVD demonstrated on average a 20.0% placebo corrected LDL-C lowering, and a resulting 13% lower risk of major cardiovascular events versus placebo. NEXLETOL was approved by the FDA in February 2020 and received an expanded cardiovascular risk reduction indication from the FDA in March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NEXLIZET contains bempedoic acid and ezetimibe and lowers elevated LDL-C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received an expanded cardiovascular risk reduction indication from the FDA in March 2024.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NILEMDO is a first-in-class ACLY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ASCVD.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ASCVD.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incurred $8.8 million in expenses related to ongoing clinical studies, including our pediatric program.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we incurred $5.6 million in expenses related to ongoing clinical studies.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Product sales, net is related to our sales of NEXLETOL and NEXLIZET. NEXLETOL and NEXLIZET were commercially available in the U.S. on March 30, 2020 and June 4, 2020,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 revenue is related to our collaboration agreements with Daiichi Sankyo Europe GmbH, or DSE, Otsuka, and Daiichi Sankyo Co. Ltd, or DS, and our other ex-U.S. collaboration partners. Collaboration revenue for the three and nine months ended September 30, 2025 was primarily related to sales of bulk tablets active pharmaceutical ingredient, or API, under our supply agreements and royalty revenue received from our collaboration partners. Collaboration revenue for the three and nine months ended September 30, 2024 was primarily related to the Settlement Agreement with DSE, sales of bulk tablets under our supply agreements and royalty revenue received from our collaboration partners. Under contracted supply agreements with ex-U.S. collaborators, we may manufacture and supply quantities of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is related to our net product sales of NEXLETOL and NEXLIZET and our supply agreements with our collaboration partners.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primarily of costs incurred in connection with the development of bempedoic acid and the bempedoic acid / ezetimibe combination tablet and any other product candidate we may choose to pursue, which include: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expenses incurred under agreements with consultants, contract research organizations, or CROs, and investigative sites that conduct our preclinical and clinical studies;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pStyle w:val="TextBody"/>
        <w:bidi w:val="0"/>
        <w:spacing w:lineRule="auto" w:line="288" w:before="0" w:after="240"/>
        <w:jc w:val="left"/>
        <w:rPr/>
      </w:pPr>
      <w:r>
        <w:rPr>
          <w:color w:val="000000"/>
        </w:rPr>
        <w:t>•</w:t>
      </w:r>
      <w:r>
        <w:rPr>
          <w:rFonts w:ascii="Times New Roman;serif" w:hAnsi="Times New Roman;serif"/>
          <w:b w:val="false"/>
          <w:color w:val="000000"/>
          <w:sz w:val="20"/>
        </w:rPr>
        <w:t>employee-related expenses, including salaries, benefits, stock-based compensation and travel expenses;</w:t>
      </w:r>
    </w:p>
    <w:p>
      <w:pPr>
        <w:pStyle w:val="TextBody"/>
        <w:bidi w:val="0"/>
        <w:spacing w:lineRule="auto" w:line="288" w:before="0" w:after="240"/>
        <w:jc w:val="left"/>
        <w:rPr/>
      </w:pPr>
      <w:r>
        <w:rPr>
          <w:color w:val="000000"/>
        </w:rPr>
        <w:t>•</w:t>
      </w:r>
      <w:r>
        <w:rPr>
          <w:rFonts w:ascii="Times New Roman;serif" w:hAnsi="Times New Roman;serif"/>
          <w:b w:val="false"/>
          <w:color w:val="000000"/>
          <w:sz w:val="20"/>
        </w:rPr>
        <w:t>allocated expenses for rent and maintenance of facilities, insurance and other supplies;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pPr>
      <w:r>
        <w:rPr>
          <w:color w:val="000000"/>
        </w:rPr>
        <w:t>•</w:t>
      </w:r>
      <w:r>
        <w:rPr>
          <w:rFonts w:ascii="Times New Roman;serif" w:hAnsi="Times New Roman;serif"/>
          <w:b w:val="false"/>
          <w:color w:val="000000"/>
          <w:sz w:val="20"/>
        </w:rPr>
        <w:t>costs related to compliance with regulatory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as incurred. To date, substantially all of our research and development work has been related to bempedoic acid and the bempedoic acid / ezetimibe combination tablet and our early-stage pipeline assets.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continue to incur research and development expenses as they relate to other development programs or additional indications we choose to pursue such as the development of our next generation ACLY inhibitors. We expect research and development expenses to increase in 2025 as we begin our phase III pediatric trial and continue progressing our preclinical pipeline. We cannot determine with certainty the duration and completion costs associated with the ongoing or future clinical studies of bempedoic acid and the bempedoic acid / ezetimibe combination tablet or any other product candidate we may choose to pursue. The duration, costs and timing associated with the development of bempedoic acid and the bempedoic acid / ezetimibe combination tablet or any other product candidate will depend on a variety of factors, including uncertainties associated with the results of our clinical studies and our ability to obtain regulatory approval.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costs of programs necessary for the general conduct of our business, including costs associated with the commercialization of NEXLETOL and NEXLIZET, selling expenses, facility-related costs, communication expenses and professional fees for legal, patent prosecution, protection and review, consulting and accounting services.</w:t>
      </w:r>
    </w:p>
    <w:p>
      <w:pPr>
        <w:pStyle w:val="TextBody"/>
        <w:bidi w:val="0"/>
        <w:spacing w:lineRule="auto" w:line="256"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our selling, general and administrative expenses will be consistent in 2025 as it was in 2024 after the additional global regulatory approvals for new product indications in 2024 and the associated expanded commercialization initiatives for NEXLETOL and NEXLIZET and increases in our associated headcount to expand our sales team.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is related to our royalty purchase agreement, or Royalty Purchase Agreement, with OCM IP Healthcare Portfolio LP, or OMERS, entered into on June 27, 2024, our $150.0 million term loan, or Loan, entered into on December 13, 2024, our Revenue Interest Purchase Agreement, or RIPA, with Oberland, an affiliate of Oberland Capital, and our convertible notes. Interest expense for the three and nine months ended September 30, 2025 was related to our Royalty Purchase Agreement with OMERS, our Loan, and our convertible notes. Interest expense for the three months ended September 30, 2024 was related to our Royalty Purchase Agreement with OMERS and our convertible notes. Interest expense for the nine months ended September 30, 2024 also included interest related to our RIPA.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relates to interest income and the accretion or amortization of premiums and discounts earned on our cash and cash equivalents and also includes other income related to the sale of leased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judgments on an ongoing basis, including those related to our net product sales and royalty purchase agreement.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other material changes to the significant accounting policies previously disclosed in our Annual Report on Form 10-K for the fiscal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2025 and 2024</w:t>
      </w:r>
    </w:p>
    <w:tbl>
      <w:tblPr>
        <w:tblW w:w="7019" w:type="dxa"/>
        <w:jc w:val="left"/>
        <w:tblInd w:w="0" w:type="dxa"/>
        <w:tblLayout w:type="fixed"/>
        <w:tblCellMar>
          <w:top w:w="28" w:type="dxa"/>
          <w:left w:w="28" w:type="dxa"/>
          <w:bottom w:w="28" w:type="dxa"/>
          <w:right w:w="28" w:type="dxa"/>
        </w:tblCellMar>
      </w:tblPr>
      <w:tblGrid>
        <w:gridCol w:w="1067"/>
        <w:gridCol w:w="943"/>
        <w:gridCol w:w="944"/>
        <w:gridCol w:w="221"/>
        <w:gridCol w:w="835"/>
        <w:gridCol w:w="114"/>
        <w:gridCol w:w="114"/>
        <w:gridCol w:w="114"/>
        <w:gridCol w:w="114"/>
        <w:gridCol w:w="221"/>
        <w:gridCol w:w="835"/>
        <w:gridCol w:w="114"/>
        <w:gridCol w:w="109"/>
        <w:gridCol w:w="109"/>
        <w:gridCol w:w="109"/>
        <w:gridCol w:w="211"/>
        <w:gridCol w:w="691"/>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(16,026)</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(22,051)</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(15,082)</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(31,333)</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Product sales, net for the three months ended September 30, 2025 was $40.7 million compared to $31.1 million for the three months ended September 30, 2024, an increase of $9.6 million. The increase is primarily due to prescription growth volumes of NEXLETOL and NEXLIZET compared to the third quarter of 2024.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Collaboration revenue recognized from our collaboration agreements for the three months ended September 30, 2025 was $46.7 million compared to $20.5 million for the three months ended September 30, 2024, an increase of approximately $26.2 million. The increase is due to increased royalty sales growth within our partner territories and product sales to our collaboration partners from our supply agreements.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for the three months ended September 30, 2025 was $41.3 million compared to $17.3 million for the three months ended September 30, 2024, an increase of $24.0 million. The increase is primarily related to increased product sales to our collaboration partners from our supply agreements and increased net product sales of NEXLETOL and NEXLIZET.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September 30, 2025, were $14.1 million, compared to $10.4 million for the three months ended September 30, 2024, an increase of $3.7 million. The increase in research and development expenses was primarily attributable to increased costs for ongoing clinical studies related to our pediatric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three months ended September 30, 2025, were $41.8 million, compared to $40.0 million for the three months ended September 30, 2024, an increase of approximately $1.8 million. The increase in selling, general and administrative expenses was primarily attributable to increased legal costs associated with the ANDA litigation and increased media costs.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September 30, 2025, was $22.1 million, compared to $15.1 million for the three months ended September 30, 2024, an increase of $7.0 million. The increase in interest expense was primarily attributable to interest on our Loan. Interest expense for the three months ended September 2025 was related to our royalty sale liability, Loan and convertible notes and the associated amortization of debt issuance costs and original issue discounts. Interest expense for the three months ended September 30, 2024 was related to our royalty sale liability and convertible notes.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three months ended September 30, 2025, was $0.7 million, compared to $1.6 million for the three months ended September 30, 2024, a decrease of $0.9 million. The decrease in other income, net was primarily due to lower interest income on our cash equivalents.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w:t>
      </w:r>
    </w:p>
    <w:tbl>
      <w:tblPr>
        <w:tblW w:w="7035" w:type="dxa"/>
        <w:jc w:val="left"/>
        <w:tblInd w:w="0" w:type="dxa"/>
        <w:tblLayout w:type="fixed"/>
        <w:tblCellMar>
          <w:top w:w="28" w:type="dxa"/>
          <w:left w:w="28" w:type="dxa"/>
          <w:bottom w:w="28" w:type="dxa"/>
          <w:right w:w="28" w:type="dxa"/>
        </w:tblCellMar>
      </w:tblPr>
      <w:tblGrid>
        <w:gridCol w:w="1067"/>
        <w:gridCol w:w="943"/>
        <w:gridCol w:w="944"/>
        <w:gridCol w:w="211"/>
        <w:gridCol w:w="828"/>
        <w:gridCol w:w="109"/>
        <w:gridCol w:w="109"/>
        <w:gridCol w:w="109"/>
        <w:gridCol w:w="109"/>
        <w:gridCol w:w="211"/>
        <w:gridCol w:w="798"/>
        <w:gridCol w:w="109"/>
        <w:gridCol w:w="109"/>
        <w:gridCol w:w="109"/>
        <w:gridCol w:w="109"/>
        <w:gridCol w:w="211"/>
        <w:gridCol w:w="796"/>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0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(84,513)</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(30,427)</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(54,086)</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Product sales, net for the nine months ended September 30, 2025 was $115.8 million compared to $84.2 million for the nine months ended September 30, 2024, an increase of approximately $31.6 million. The increase is primarily due to prescription growth volumes of NEXLETOL and NEXLIZET compared to the nine months ended September 30, 2024.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Collaboration revenue recognized from our collaboration agreements for the nine months ended September 30, 2025 was $118.8 million compared to $179.0 million for the nine months ended September 30, 2024, a decrease of $60.2 million. The decrease is primarily due to the Settlement Agreement with DSE received in the nine months ended September 30, 2024, partially offset by increased royalty sales growth within our partner territories and product sales to our collaboration partners from our supply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 for the nine months ended September 30, 2025 was $101.4 million compared to $43.0 million for the nine months ended September 30, 2024, an increase of $58.4 million. The increase is primarily related to increased product sales to our collaboration partners from our supply agreements and increased net product sales of NEXLETOL and NEXLIZET.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nine months ended September 30, 2025, were $33.9 million, compared to $35.3 million for the nine months ended September 30, 2024, a decrease of approximately $1.4 million. The decrease in research and development expenses was primarily attributable to decreased compensation costs, including bonus, stock compensation and consulting partially offset by increase in costs for ongoing pediatric clinical studies.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nine months ended September 30, 2025, were $124.4 million, compared to $126.1 million for the nine months ended September 30, 2024, a decrease of approximately $1.7 million. The decrease in selling, general and administrative expenses was primarily attributable to decreased marketing and commercialization costs.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expense for the nine months ended September 30, 2025, was $62.0 million, compared to $42.8 million for the nine months ended September 30, 2024, an increase of approximately $19.2 million. The increase in interest expense was primarily attributable to interest on our Loan. Interest expense for the nine months ended September 30, 2025 was related to our royalty sale liability, Loan and convertible notes and the associated amortization of debt issuance costs and original issue discounts. Interest expense for the nine months ended September 30, 2024 was related to our royalty sale liability, revenue interest liability and convertible notes.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Loss on extinguishment of debt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for the nine months ended September 30, 2024, was $53.2 million, with no such loss recognized for the nine months ended September 30, 2025. The loss on extinguishment of debt was due to the repurchase of the Revenue Interests under our RIPA with Oberland.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nine months ended September 30, 2025, was $2.4 million, compared to $6.8 million for the nine months ended September 30, 2024, a decrease of $4.4 million. The decrease in other income, net was primarily due to lower interest income on our cash equivalents.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and royalty purchase agreements. Pursuant to the license and collaboration agreements with DSE, DS, and Otsuka, we are eligible for substantial additional sales and regulatory milestone payments and royalties. </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On October 7, 2025, we entered into an underwriting agreement, or the 2025 Underwriting Agreement, with Piper Sandler &amp; Co. and Cantor Fitzgerald &amp; Co., as representative of the several underwriters, or the 2025 Underwriters, related to an underwritten public offering, or the 2025 Offering, of 30,000,000 shares our Common Stock, at a public offering price of $2.50 per share. In addition, under the terms of the 2025 Underwriting Agreement, the underwriters were granted a 30-day option to purchase up to an additional 4,500,000 shares of Common Stock, at the public offering price. On October 10, 2025, the underwriters gave notice to the Company of their partial election exercise the underwriters' option to purchase 1,065,000 additional shares, which closed on October 14, 2025. Giving effect to the partial exercise of underwriters' option, the Company issued an aggregate of 31,065,000 shares of Common Stock in the 2025 Offering, with net proceeds to the Company of approximately $72.6 million, after deducting the underwriting discount and offering expenses of approximately $5.1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shelf registration statement on Form S-3 (File No. 333-286631) filed with the SEC on April 18, 2025, including the sales agreement prospectus contained therein, as declared effective by the SEC on April 29, 2025. During the three and nine months ended September 30, 2025, we issued 4,170,000 and 6,835,505 shares of Common Stock, respectively, resulting in net proceeds of approximately $10.5 million and $13.3 million after deducting $0.4 million and $0.8 million of sales agent commissions and other expenses, respectively, pursuant to the 2023 ATM Program. During the three and nine months ended September 30, 2024, the Company issued 378,902 shares of common stock resulting in net proceeds of approximately $0.5 million after deducting approximately $0.2 million of commissions and expense reimbursement payable to sales agent and other expenses, pursuant to the 2023 ATM Program. We may continue to use the 2023 ATM Program to address potential short-term or long-term funding requirements that may arise. Such program will continue to be subject to the volatility of the price of our common stock and general market conditions.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 2024, we entered into a Settlement Agreement with DSE to amicably resolve and dismiss the commercial dispute that was pending in the Southern District of New York. Under the Settlement Agreement, DSE agreed to pay us an aggregate of $125.0 million, including (1) a $100.0 million payment within 15 business days of the effective date of the Settlement Agreement, which we received in January 2024, and (2) a $25.0 million payment in the calendar quarter immediately following the calendar quarter in which the European Medicines Agency, or EMA, renders a decision on the application that was filed with the EMA for a Type II(a) variation for our oral non-statin products marketed as NILEMDO® (bempedoic acid) tablets and NUSTENDI® (bempedoic acid and ezetimibe) tablets in Europe, which we received in June 2024. The legal action pending in the United States District Court for the Southern District of New York has now been dismissed.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18, 2024, we entered into an underwriting agreement, or the Underwriting Agreement, with Jefferies LLC, or Jefferies, as representative of several underwriters, or the Underwriters, related to an underwritten public offering, or the January 2024 Offering, of 56,700,000 shares of our common stock, at a purchase price to the public of $1.50 per share. The Underwriters were also granted a 30-day option to purchase up to an additional 8,505,000 shares of our common stock, at the public offering price, less underwriting discounts and commissions. On January 19, 2024, Jefferies gave us notice of its election to exercise the option to purchase additional shares, in full. Giving effect to the exercise of Underwriters' option, the January Offering closed on January 23, 2024, with net proceeds to the Company of approximately $90.7 million, after deducting the underwriting discount and offering expenses of $7.1 million. </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On December 12, 2024, we entered into privately negotiated exchange and subscription agreements with certain holders of our 4.00% Convertible Senior Subordinated Notes due 2025, or the 2025 Notes, pursuant to which we issued $100.0 million aggregate principal amount of 5.75% Convertible Senior Subordinated Notes due in June 2030, or the 2030 Notes, consisting of (a) approximately $57.5 million principal amount of 2030 Notes, along with approximately $153.4 million in cash, including accrued interest, issued in exchange for approximately $210.1 million principal amount of 2025 Notes, or the Exchange Transaction. As part of our December 2024 Credit Agreement and Exchange Transaction for our 2025 and 2030 Notes, as described in more detail below, the Company added approximately $26.5 million of net cash and cash equivalents to the balance sheets after payments of original issue discount, issuance costs and accrued interest on the partial extinguishment of the 2025 Notes.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we will incur operating losses for the immediate future as we continue to incur substantial expenses related to the ongoing commercialization of NEXLETOL and NEXLIZET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foreseeable future.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primary sources of liquidity were our cash and cash equivalents which totaled $92.4 million and does not include the net cash received in the 2025 Offering of $72.6 million. We invest our cash equivalents in highly liquid, interest-bearing investment-grade securities to preserve principal.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primary sources and uses of cash for the periods presented below:</w:t>
      </w:r>
    </w:p>
    <w:tbl>
      <w:tblPr>
        <w:tblW w:w="7105" w:type="dxa"/>
        <w:jc w:val="left"/>
        <w:tblInd w:w="0" w:type="dxa"/>
        <w:tblLayout w:type="fixed"/>
        <w:tblCellMar>
          <w:top w:w="28" w:type="dxa"/>
          <w:left w:w="28" w:type="dxa"/>
          <w:bottom w:w="28" w:type="dxa"/>
          <w:right w:w="28" w:type="dxa"/>
        </w:tblCellMar>
      </w:tblPr>
      <w:tblGrid>
        <w:gridCol w:w="1618"/>
        <w:gridCol w:w="1423"/>
        <w:gridCol w:w="1429"/>
        <w:gridCol w:w="220"/>
        <w:gridCol w:w="831"/>
        <w:gridCol w:w="113"/>
        <w:gridCol w:w="113"/>
        <w:gridCol w:w="113"/>
        <w:gridCol w:w="113"/>
        <w:gridCol w:w="220"/>
        <w:gridCol w:w="752"/>
        <w:gridCol w:w="160"/>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(52,314)</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62,469 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 and our early stage pipeline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totaled $58.3 million for the nine months ended September 30, 2025, compared to $11.3 million of cash provided by operating activities for the nine months ended September 30, 2024. Net cash used in operating activities of $58.3 million for the nine months ended September 30, 2025 consisted primarily of net product sales of NEXLETOL and NEXLIZET and collaboration revenue fully offset by cash used to fund the commercialization activities of NEXLETOL and NEXLIZET and the research and development costs related to bempedoic acid and the bempedoic acid / ezetimibe combination tablet and our other early stage pipeline assets, adjusted for non-cash items such as royalty revenue paid or to be paid to OMERS, stock-based compensation expense, interest expense related to our royalty sale agreement, amortization of issuance costs on our convertible notes, depreciation and amortization and changes in working capital. Net cash provided by operating activities of $11.3 million for the nine months ended September 30, 2024 consisted primarily of net product sales of NEXLETOL and NEXLIZET and collaboration revenue from the Settlement Agreement with DSE partially offset by cash used to fund the commercialization activities of NEXLETOL and NEXLIZET and the research and development costs related to bempedoic acid and the bempedoic acid / ezetimibe combination tablet, adjusted for non-cash items such as the loss on extinguishment of debt associated with our revenue interest purchase agreement, royalty revenue from DSE paid or to be paid to OMERS, stock-based compensation expense, interest expense related to our RIPA with Oberland and royalty sale agreement, depreciation and amortization and changes in working capital.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was no cash used in or provided by investing activities for the nine months ended September 30, 2025. Net cash used in investing activities of $0.3 million for the nine months ended September 30, 2024 consisted of purchases of property, plant and equipment.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cash provide by financing activities of $6.0 million for the nine months ended September 30, 2025 related primarily to cash received from our 2023 ATM program offset partially by issuance costs on our December 2024 Credit Agreement and Exchange Transaction. Net cash provided by financing activities of $51.5 million for the nine months ended September 30, 2024 related primarily to our January 2024 Offering, royalty sale agreement and warrant exercises, offset partially by the cash outlays resulting in the extinguishment of our revenue interest liability.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7, 2025, we entered into the 2025 Underwriting Agreement with Piper Sandler &amp; Co. and Cantor Fitzgerald &amp; Co., as representatives of the underwriters, pursuant to which we issued and sold an aggregate of 31,065,000 shares of Common Stock, which includes the partial exercise of the underwriters’ option to purchase 1,065,000 additional shares, at the public offering price of $2.50 per share. As a result of the Offering, we received approximately $72.6 million in net proceeds, after deducting the underwriting discount and offering expenses of approximately $5.1 million. </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On December 17, 2024, we closed on the Exchange Agreement where we repaid $210.1 million aggregate principal amount of our $265.0 million 2025 Notes and associated accrued interest. Future payments under the 4.00% 2025 Notes include annual interest of $2.2 million and a principal payment of $54.9 million due in November 2025. Refer to Note 10 "Debt" in our condensed financial statements appearing elsewhere in this Quarterly Report on Form 10-Q.</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On December 17, 2024, we issued $100.0 million aggregate principal amount of 5.75% convertible senior subordinated notes due 2030 to certain financial institutions as the initial purchasers of the convertible notes, or 2030 Notes. Future payments under the 2030 Notes include annual interest of approximately $5.8 million and a principal payment of $100.0 million in 2030. Refer to Note 10 "Debt" in our condensed financial statements appearing elsewhere in this Quarterly Report on Form 10-Q.</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13, 2024, we entered into a credit agreement, or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or the Loan, which was borrowed in full at closing. Proceeds from the Loan were used repay a portion of the outstanding obligations under our 2025 Notes, and to pay an original issue discount of $3.8 million and fees and expenses in connection with the Credit Agreement of $5.4 million. The Loan will bear interest at an annual rate of 9.75% if paid in cash, and 11.75% if paid-in-kind. At our option, interest on the Loan may be paid-in-kind for the first four full fiscal quarters ending after the closing date. We elected to have interest on the Loan paid-in-kind for the second quarter ended June 30, 2025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third quarter ended September 30, 2025. The Credit Agreement requires quarterly interest-only payments for the first four years after the closing date and, thereafter, the Loan will partially amortize in quarterly principal payments of 12.5%, with the outstanding balance to be repaid on the maturity date of December 13, 2029. Future payments under the Loan are expected to be annual interest of $15.5 million (approximately $8.3 million in 2025 with the additional portion related to the fourth quarter of 2024 and the paid-in-kind interest related to the second and third quarters of 2025), $19.9 million in principal in the year ended December 31, 2028, and the remaining approximately $139.1 million in principal in the year ended December 31, 2029.</w:t>
      </w:r>
    </w:p>
    <w:p>
      <w:pPr>
        <w:pStyle w:val="TextBody"/>
        <w:bidi w:val="0"/>
        <w:spacing w:lineRule="auto" w:line="256" w:before="0" w:after="240"/>
        <w:jc w:val="left"/>
        <w:rPr>
          <w:rFonts w:ascii="Times New Roman;serif" w:hAnsi="Times New Roman;serif"/>
          <w:b w:val="false"/>
          <w:color w:val="000000"/>
          <w:sz w:val="20"/>
        </w:rPr>
      </w:pPr>
      <w:r>
        <w:rPr>
          <w:rFonts w:ascii="Times New Roman;serif" w:hAnsi="Times New Roman;serif"/>
          <w:b w:val="false"/>
          <w:color w:val="000000"/>
          <w:sz w:val="20"/>
        </w:rPr>
        <w:t>On June 27, 2024, we entered into a Royalty Purchase Agreement, or the Purchase Agreement, with OMERS. Pursuant to the Purchase Agreement, we sold a portion of the royalties payable on net sales of Bempedoic Acid from our collaboration partner DSE. Pursuant to the Purchase Agreement, we received $304.7 million, less issuance costs. OMERS acquired 100% of the Royalty Interests until such time as they have received an aggregate amount equal to 1.7x of the Purchase Price (equivalent to approximately $517.9 million). Following receipt of such amount, 100% of all Royalty Interests will revert to the Company. Through September 30, 2025, the royalties recognized and settled to the Purchaser was $66.5 million. The Company expects future royalties to OMERS may range from $94.8 million in the next year to a maximum total payment of approximately $356.6 million beyond one year. A significant increase or decrease in future royalties will materially impact the royalty sale liability, interest expense and the time period for repayment. Refer to Note 9 "Sale of Future Royalties" in our condensed financial statements included in this Quarterly Report on Form 10-Q for the quarter ended September 30, 2025 for further information.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27, 2024, we repurchased the Revenue Interests outstanding under the RIPA for $343.8 million and recognized a loss on extinguishment of debt in the statement of operations. Following the repurchase in June 2024, we no longer owe payments under the RIPA. Refer to Note 8 "Liability Related to the Revenue Interest Purchase Agreement" in our condensed financial statements included in this Quarterly Report on Form 10-Q for further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18, 2024, we entered into the Underwriting Agreement with Jefferies, as representative of the Underwriters, related to the January 2024 Offering of 56,700,000 shares of our common stock, at a purchase price to the public of $1.50 per share. The Underwriters were also granted a 30-day option to purchase up to an additional 8,505,000 shares of our common stock, at the public offering price, less underwriting discounts and commissions. On January 19, 2024, Jefferies gave us notice of its election to exercise the option to purchase additional shares, in full. Giving effect to the exercise of Underwriters' option, the January Offering closed on January 23, 2024, with net proceeds to the Company of approximately $90.7 million, after deducting the underwriting discount and offering expenses of $7.1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March 22, 2023, we issued and sold, in a registered direct offering, or the Registered Direct Offering, 12,205,000 shares of our common stock, pre-funded warrants to purchase up to an aggregate of 20,965,747 shares of our common stock,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lieu of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Registered Direct Offering,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and expire three and one half years following the closing of the Registered Direct Offering, for additional consideration of $0.125 per amended warrant. The amended warrants are immediately exercisable and will expire on September 22, 2026, which may provide us with additional funding, if such amended warrants are exercised by their holders. Each pre-funded warrant is exercisable for one share of our common stock at an exercise price of $0.001 per share. The pre-funded warrants were immediately exercisable and could be exercised at any time. As of September 30, 2025, no pre-funded warrants were outstanding as all were exercised during the year ended 2023. We received net proceeds of approximately $51.3 million related to the Registered Direct Offering after deducting placement agent fees and related offering expenses of $4.2 million, and we received approximately $1.1 million in connection with the amended warrants after deducting placement fees of $0.1 million. During the three and nine months ended September 30, 2025, no warrants were exercised. During the nine months ended September 30, 2024, we received net proceeds of approximately $14.8 million from the exercise of warrants in connection with the Registered Direct Offering.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shelf registration statement on Form S-3 (File No. 333-286631) filed with the SEC on April 18, 2025, including the sales agreement prospectus contained therein, as declared effective by the SEC on April 29, 2025. During the three and nine months ended September 30, 2025, we issued 4,170,000 and 6,835,505 shares of Common Stock, respectively, resulting in net proceeds of approximately $10.5 million and $13.3 million after deducting $0.4 and $0.8 million of sales agent commissions and other expenses, respectively, pursuant to the 2023 ATM Program. During the three and nine months ended September 30, 2024, the Company issued 378,902 shares of common stock resulting in net proceeds of approximately $0.5 million after deducting approximately $0.2 million of commissions and expense reimbursement payable to sales agent and other expenses, pursuant to the 2023 ATM Program. We may continue to use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2023 ATM Program to address potential short-term or long-term funding requirements that may arise. Such program will continue to be subject to the volatility of the price of our common stock and general market conditions.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Plan of Operations and Funding Requirements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expenses and operating losses for the immediate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DSE, DS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pStyle w:val="TextBody"/>
        <w:bidi w:val="0"/>
        <w:spacing w:before="0" w:after="0"/>
        <w:jc w:val="left"/>
        <w:rPr/>
      </w:pPr>
      <w:r>
        <w:rPr/>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ability to successfully develop and commercialize NEXLETOL and NEXLIZET or other product candidates;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service and payment of potential debt maturities;</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our ability to maintain existing collaborations and partnerships and our ability to establish any future collaboration or commercialization arrangements on favorable terms, if at all;</w:t>
      </w:r>
    </w:p>
    <w:p>
      <w:pPr>
        <w:pStyle w:val="TextBody"/>
        <w:bidi w:val="0"/>
        <w:spacing w:before="0" w:after="0"/>
        <w:ind w:left="0" w:right="0" w:hanging="36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our ability to realize the intended benefits of our existing and future collaborations and partnerships, including receiving potential milestone payments from collaboration partners;</w:t>
      </w:r>
    </w:p>
    <w:p>
      <w:pPr>
        <w:pStyle w:val="TextBody"/>
        <w:bidi w:val="0"/>
        <w:spacing w:before="0" w:after="0"/>
        <w:ind w:left="0" w:right="0" w:hanging="36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 xml:space="preserve">the timing and results of clinical trials and regulatory actions relating to our product candidates or those of our competitors;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 xml:space="preserve">our ability to expand and advance our pipeline through business development activities, including collaborations, licensing arrangements or other strategic transactions, and our ability to execute and realize the anticipated and potential benefits of any such transactions we may pursue; </w:t>
      </w:r>
    </w:p>
    <w:p>
      <w:pPr>
        <w:pStyle w:val="TextBody"/>
        <w:bidi w:val="0"/>
        <w:spacing w:before="0" w:after="0"/>
        <w:ind w:left="0" w:right="0" w:hanging="36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 xml:space="preserve">developments or disputes concerning patent applications, issued patents or other proprietary rights, including challenges to the validity, scope or enforceability of our issued patents, litigation or other proceedings arising from ANDA filings or similar regulatory submissions, and our ability to defend and enforce our intellectual property rights; </w:t>
      </w:r>
    </w:p>
    <w:p>
      <w:pPr>
        <w:pStyle w:val="TextBody"/>
        <w:bidi w:val="0"/>
        <w:spacing w:before="0" w:after="0"/>
        <w:ind w:left="0" w:right="0" w:hanging="36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 xml:space="preserve">delays or disruptions in review, approval, inspection, or other actions by the FDA or other applicable U.S. or foreign government regulatory authorities that could impact the timing, initiation, conduct, or completion of our clinical trials or marketing applications; </w:t>
      </w:r>
    </w:p>
    <w:p>
      <w:pPr>
        <w:pStyle w:val="TextBody"/>
        <w:bidi w:val="0"/>
        <w:spacing w:before="0" w:after="0"/>
        <w:ind w:left="0" w:right="0" w:hanging="360"/>
        <w:jc w:val="left"/>
        <w:rPr/>
      </w:pPr>
      <w:r>
        <w:rPr/>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implementation of operational and financial information technology;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the impact of macroeconomic and geopolitical developments, including increases in inflationary rates, capital market disruptions, disruptions of U.S. governmental agencies, whether from a continued U.S. federal government shutdown or reduced resources, tariffs, trade protection measures, economic sanctions and related economic slowdowns or recessions, any of which could adversely affect our access to capital markets. </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U.S. product revenues and collaboration royalties, we expect to finance our cash needs through a combination of collaborations with third parties, strategic alliances, licensing arrangements, debt financings,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Debt and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or our other ex-U.S. partners, or other similar arrangements with third parties, we may have to relinquish valuable rights to our technologies, future revenue streams or grant licenses on terms that may not be favorable to us. Similarly, adverse macroeconomic conditions and market volatility resulting from global and national economic developments, political unrest, high inflation, disruptions in capital markets, changes in international trade relationships, changes in or the disruptions of U.S. governmental agencies, whether from a continued U.S. federal government shutdown or reduced resources, new laws and regulations or amendments to existing laws and regulations in the U.S. and foreign countries, trade protection measures, economic sanctions and economic slowdowns or recessions, or other factors could materially and adversely affect our ability to consummate an equity or debt financing on favorable terms or at all. If we are unable to raise additional funds through equity or permitted debt financings or through collaborations, strategic alliances or licensing arrangements or royalty-based financing arrangements when needed and on favorable terms, if at all,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 </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We do not currently have, nor did we have during the periods presented, any off-balance sheet arrangements as defined by the SEC rules.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with respect to the information appearing in Part II, Item 7A, “Quantitative and Qualitative Disclosures About Market Risk,”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Controls and Procedures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President and Chief Executive Officer, who is our principal executive officer, and our Chief Financial Officer, who is our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carried out the evaluation required by the Exchange Act Rules 13a-15(b) and 15d-15(b), under the supervision and with the participation of our management, including our Chief Executive Officer and Chief Financial Officer, of the effectiveness of our disclosure controls and procedures (as defined in the Exchange Act Rules 13a-15(e) and 15d-15(e)). Our 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upon this evaluation, our Chief Executive Officer and Chief Financial Officer concluded that as of September 30, 2025, our disclosure controls and procedures were not effective due to a material weakness in our internal control over financial reporting described below.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Previously Identified Material Weakness in Internal Control over Financial Reporting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previously reported, in connection with the preparation of our Quarterly Report on Form 10-Q for the quarter ended June 30, 2025, our management discovered that certain information related to our inventory and cost of sales balances was inaccurately reported in our earnings release for the quarter ended June 30, 2025, originally issued and furnished with our Current Report on Form 8-K filed on August 5, 2025. Following discovery of such errors, we filed a Current Report on Form 8-K/A that furnished a corrected version of the earnings release on August 11, 2025. As a result of the foregoing, our Chief Executive Officer and Chief Financial Officer concluded that a material weakness in our internal control over financial reporting existed related to the accounting for inventory held at a certain third-party contract manufacturing organization, and have further concluded that such material weakness had not been remediated as of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response to the material weakness identified above, our management performed additional analyses as deemed necessary to ensure that our financial statements were prepared in accordance with generally accepted accounting principles in the United States of America, or U.S. GAAP. Notwithstanding the material weakness in our internal control over financial reporting,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has concluded that the condensed financial statements and related notes thereto included in this Quarterly Report on Form 10-Q present fairly, in all material respects, our financial position, results of operations and cash flows for the periods presented in conformity with U.S. GAAP.</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Remediation Plan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identification of the material weakness disclosed above, and with oversight from the Audit Committee of our Board of Directors (the “Audit Committee”) and input from our management, we designed and implemented changes to our processes and controls to remediate the material weakness and to enhance our internal control over financial reporting, including enhanced controls related to inventory existence held at, and movements of inventory between, our third party contract manufacturing organizations. While we believe the steps taken to date and those planned for future implementation will improve the effectiveness of our internal control over financial reporting, we have not completed all remediation efforts. The material weakness cannot be considered remediated until applicable controls have operated for a sufficient period of time and management has concluded, through testing, that these controls are operating effectively. Accordingly, we will continue to monitor and evaluate the effectiveness of our internal control over financial reporting.</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than disclosed above, there were no changes to our internal control over financial reporting that occurred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with respect to this item can be found under “Commitments and Contingencies” in Note 5 to our condensed financial statements included elsewhere in this Quarterly Report on Form 10-Q and is incorporated by reference into this Item 1.</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future, we may become party to legal matters and claims arising in the ordinary course of business, the resolution of which we do not anticipate would have a material adverse impact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Except for the historical information contained herein or incorporated by reference, this Quarterly Report on Form 10-Q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Quarterly Report on Form 10-Q. Factors that could cause or contribute to these differences include, but are not limited to, those discussed in Part I, Item 2 entitled "Management's Discussion and Analysis of Financial Condition and Results of Operations" and elsewhere throughout this Quarterly Report on Form 10-Q and in any documents incorporated in this Quarterly Report on Form 10-Q by reference.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You should consider carefully the following risk factors, together with those set forth in Part I, Item 1A in our Annual Report on Form 10-K for the fiscal year ended December 31, 2024 and in all of the other information included or incorporated in this Quarterly Report on Form 10-Q. The following risk factors represent new risk factors or those containing changes, including material changes, to the risk factors set forth in Part I, Item 1A of our Annual Report on Form 10-K for the fiscal year ended December 31, 2024.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Complying with public company reporting and other obligations may strain our financial and managerial resources. Additionally, we are obligated to maintain proper and effective internal control over financial reporting. 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comply with applicable provisions of the Sarbanes-Oxley Act of 2002, as well as other rules and regulations promulgated by the SEC and the NASDAQ Stock Market LLC, or NASDAQ, which results in significant continuing legal, accounting, administrative and other costs and expenses. The listing requirements of the NASDAQ Capital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Section 404 of the Sarbanes-Oxley Act of 2002, or Section 404, and the related rules of the SEC that generally require our management and independent registered public accounting firm to report on the effectiveness of our internal control over financial reporting. Section 404 requires an annual management assessment, as well as an opinion from our independent registered public accounting firm, on the effectiveness of our internal control over financial reporting.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course of our review and testing, we have previously identified, and may in the future identify, deficiencies in our internal control over financial reporting, including material weaknesses, and we may be unable to remediate them in a timely manner. For example, as previously reported in our Quarterly Report on Form 10-Q for the quarter ended June 30, 2025, and as described further below and in Part I, Item 4 “Controls and Procedures” of this Quarterly Report on Form 10-Q, we identified a material weakness in our internal control over financial reporting. Any material weakness could result in our inability to detect errors on a timely basis, which could cause our financial statements to be materially misstated. As a result, we may not be able to conclude on an ongoing basis that we have effective internal control over financial reporting, which could harm our operating results, cause investors to lose confidence in our reported financial information and cause the trading price of our stock to fall.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are required to timely file accurate quarterly and annual reports with the SEC under the Securities Exchange Act of 1934, as amended, or the Exchange Act. In order to report our results of operations and financial statements on an accurate and timely basis, we depend on contract manufacturing organizations, clinical research organizations and other third-party vendors, as applicable, to provide timely and accurate financial information to us. Any failure to report our financial results on an accurate and timely basis could result in sanctions, lawsuits, delisting of our shares from the NASDAQ Capital Market or other adverse consequences that would materially harm our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for the quarter ended September 30, 2025. Based on such evaluation, our principal executive officer and principal financial officer concluded that our disclosure controls and procedures were not effective at a reasonable assurance level as of September 30, 2025, due to the material weakness identified in our internal control over financial reporting, as described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disclosed in Part I, Item 4 “Controls and Procedures” of this Quarterly Report on Form 10-Q, in connection with the preparation of our Quarterly Report on Form 10-Q for the quarter ended June 30, 2025, our management discovered that certain information related to our inventory and cost of sales balances was inaccurately reported in our earnings release for the quarter ended June 30, 2025, originally issued and furnished with our Current Report on Form 8-K filed on August 5, 2025. Following discovery of such errors, we filed a Current Report on Form 8-K/A that furnished a corrected version of the earnings release on August 11, 2025. As a result of the foregoing, our principal executive officer and principal financial officer concluded that a material weakness in our internal control over financial reporting existed related to the accounting for inventory held at a certain third-party contract manufacturing organization, and have further concluded that such material weakness had not been remediated as of September 30,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identification of the material weakness disclosed above, and with oversight from the Audit Committee and input from our management, we designed and implemented changes to our processes and controls to remediate the material weakness and to enhance our internal control over financial reporting, including enhanced controls related to inventory existence held at, and movements of inventory between, our third party contract manufacturing organizations. While we believe the steps taken to date and those planned for future implementation will improve the effectiveness of our internal control over financial reporting, we have not completed all remediation efforts. These controls will need to operate for a sufficient period of time for our management to conclude that they are operating effectively. Accordingly, the material weakness will not be considered remediated until our management has concluded, through implementation of these remediation measures and additional testing, that these controls are effective.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While we are in the process of undertaking actions to remediate this material weakness as described above, we cannot assure you that the measures we are taking, when fully implemented, will be sufficient to remediate the material weakness or to avoid the identification of additional material weaknesses in the future. If we are unable to successfully remediate our existing or any future material weaknesses in our internal control over financial reporting in a timely manner, or if we identify any additional material weaknesses, the accuracy and timeliness of our financial reporting may be adversely affected, we may be unable to maintain compliance with securities law requirements regarding timely filing of periodic reports and applicable NASDAQ Capital Market listing requirements, investors may lose confidence in our financial reporting, and our share price may decline as a result. In addition, we could become subject to investigations by NASDAQ, the SEC or other regulatory authorities, which could require additional financial and management resources.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Inadequate funding for the FDA, the SEC and other U.S.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Currently, federal agencies in the U.S. are operating under a federal government shutdown due to expiration of the continuing resolution on September 30, 2025. The duration of the current government shutdown is unknown. Without appropriations of additional funding to federal agencies, our business operations related to our product development activities for the U.S. market could be impacted. The Trump administration has issued executive orders seeking to greatly reduce the size of the federal workforce, including through layoffs and severance packages offered to employees of federal agencies within the executive branch and independent agencies, including the FDA, SEC and U.S. Patent and Trademark Office (the "USPTO").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Any such reduction in personnel may result in longer review times by the FDA and other agencies. The ability of the FDA to review and approve new products can be affected by a variety of factors, including government budget and funding levels, the ability to hire and retain key personnel and accept the payment of user fees, the availability of personnel and other resources, statutory, regulatory and policy changes and other events that may otherwise affect the FDA's ability to perform routine transactions.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Disruptions and personnel turnover, as a result of leadership changes, staff reductions or otherwise, at the FDA and other agencies may also slow the time necessary for product applications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investigational new drug submissions or applications, issue regulations or guidance, or implement or enforce regulatory requirements in a timely fashion or at all. For example, over the last several years, the U.S. government has shut down several times and certain regulatory agencies, such as the FDA and the SEC, have had to furlough critical employees and stop critical activities. Specifically, on October 1, 2025, the U.S. federal government entered a shutdown suspending services deemed non-essential as a result of the failure by Congress to enact regular appropriations for the 2026 fiscal year. If a prolonged government shutdown occurs or a widespread freeze on federal funding continues,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Additionally, disruptions at the National Institutes of Health or changes to its budget may negatively impact our operations and ongoing clinical trials. Further, in our operations as a public company, the ongoing or future government shutdowns and/or employee terminations or resignations at the SEC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federal legislation may increase pressure to reduce prices of certain pharmaceutical products paid for by Medicare, which could materially adversely affect our revenue and our results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drug products, we expect that there will be additional pressure to reduce costs. These cost reduction initiatives and other provisions of this legislation could decrease the scope of coverage and the price that we receive for any approved products and could seriously harm our business.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This legislation may pose an even greater risk to bempedoic acid and the bempedoic acid / ezetimibe combination tablet than some other pharmaceutical products because a significant portion of the patient population for bempedoic acid and the bempedoic acid / ezetimibe combination tablet is over 65 years of age and, therefore, many such patients will be covered by Medicare.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growing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or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or the OBBBA Act,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the reform initiatives that may be adopted in the future or whether initiatives that have been adopted will be repealed or modified. See “Business - Coverage, Reimbursement and Healthcare Reform” in Part I, Item 1A in our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left"/>
        <w:rPr/>
      </w:pPr>
      <w:r>
        <w:rPr>
          <w:rFonts w:ascii="Times New Roman;serif" w:hAnsi="Times New Roman;serif"/>
          <w:b w:val="false"/>
          <w:color w:val="000000"/>
          <w:sz w:val="20"/>
        </w:rPr>
        <w:t>Report on Form 10-K for the fiscal year ended December 31, 2024</w:t>
      </w:r>
      <w:r>
        <w:rPr>
          <w:color w:val="000000"/>
        </w:rPr>
        <w:t xml:space="preserve"> </w:t>
      </w:r>
      <w:r>
        <w:rPr>
          <w:rFonts w:ascii="Times New Roman;serif" w:hAnsi="Times New Roman;serif"/>
          <w:b w:val="false"/>
          <w:color w:val="000000"/>
          <w:sz w:val="20"/>
        </w:rPr>
        <w:t>for more discussion on healthcare reform efforts. The continuing efforts of the government, insurance companies, managed care organizations and other payors of healthcare services to contain or reduce costs of healthcare may adversely affect: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 for our products and any products for which we may obtain regulatory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set a price that we believe is fair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obtain coverage and reimbursement approval for a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revenues and achieve or maintain profitability;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taxes that we are required to pay.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our products and any future approved product.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and similar entities.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Finally, the availability of generic LDL-C lowering treatments may also substantially reduce the level of reimbursement for branded counterparts or other competitive LDL-C lowering therapies, such as bempedoic acid or the bempedoic acid / ezetimibe combination tablet. We cannot be sure whether additional legislative changes will be enacted, or whether FDA regulations, guidance or interpretations will be changed, or what the impact of such changes on the marketing approvals of our products and future product candidates, if any, may be. In addition, increased scrutiny by Congress of the FDA’s approval process may significantly delay or prevent marketing approval, as well as subject us to more stringent product labeling and post-marketing testing and other requirements.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If we fail to successfully secure and maintain adequate reimbursement coverage for our products or are significantly delayed in doing so, we will have difficulty achieving market acceptance of our products and our business will be harmed.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Unfavorable macroeconomic conditions or market volatility resulting from geopolitical developments or national or global economic conditions, including those affecting the financial services industry, could adversely affect our business, financial condition or results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Adverse market or macroeconomic conditions or market volatility resulting from geopolitical events, national or global economic developments, political unrest, high inflation, rising interest rates, new or increased tariffs and retaliatory tariffs, changes in international trade relationships and military conflicts, such as the ongoing conflict between Russia and Ukraine, the Israel-Hamas war, and the conflict between Israel and Iran, changes in or disruptions of U.S. governmental agencies,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from a continued U.S. federal government shutdown or reduced resources, new laws and regulations or amendments to existing laws and regulations in the U.S. and foreign countries, or other factors, could materially and adversely affect our business operations.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Tariffs levied by the U.S. and other countries also may adversely affect financial markets and the global economy. For example, in early 2025, the United States imposed tariffs on imports on its trading partners, including Canada, Mexico, the EU and China.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Additionally, in September 2025, the current administration also announced a 100% tariff on brand-name or patented drugs unless pharmaceutical companies expand their manufacturing operations in the U.S., and may impose more restrictions on goods. Although the pharmaceutical tariff is currently on hold, this could have a material adverse effect on our supply chain and business prospects as well as the larger biopharmaceutical industry. While certain tariffs have subsequently been suspended, modified or temporarily reduced, we cannot predict the results of the U.S. government’s trade negotiations or the outcome of ongoing legal challenges to specific tariff policies.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There can be no assurance that further deterioration in credit and financial markets and confidence in economic conditions will not occur.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to date, our business has not been materially impacted by these macroeconomic and geopolitical conditions, it is impossible to predict the extent to which our operations will be impacted in the short and long term, or the ways in which such instability could impact our business and results of operations. A severe or prolonged economic downturn or additional global financial crises could result in a variety of risks to our business, including weakened demand for any product candidates we develop or our ability to raise additional capital when needed on acceptable terms, if at all.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there has been proposed U.S. legislation, known as the BIOSECURE Act,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Although the BIOSECURE Act was not passed, in October 2025, versions of the National Defense Authorization Act of 2026 passed each respective chamber of Congress and both included an amendment that would effectively implement federal government contracting, loan, and grant restrictions similar to those proposed in the 2024 BIOSECURE Act. If the BIOSECURE Act or similar legislation is passed in the future, we may not be able to engage a backup or alternative supplier or service provider in a timely manner or at all. Although the BIOSECURE Act was not passed, in October 2025, versions of the National Defense Authorization Act of 2026 passed each respective chamber of Congress and both included an amendment that would effectively implement federal government contracting, loan, and grant restrictions similar to those proposed in the 2024 BIOSECURE Act. If the BIOSECURE Act or similar legislation is passed in the future, we may not be able to engage a backup or alternative supplier or service provider in a timely manner or at all. This, in turn, could materially and adversely affect our or our collaborators’ ability to manufacture or supply product candidates or advance our clinical development programs, which could materially and adversely affect our business and future prospects. In addition, any delay in or inability to complete our clinical studies could significantly compromise our ability to secure regulatory approval of bempedoic acid or the bempedoic acid / ezetimibe combination tablet for additional indications we may seek and preclude our ability to commercialize bempedoic acid or the bempedoic acid / ezetimibe combination tablet, thereby limiting or preventing our ability to generate revenue from its sales. We continue to assess the legislation as it develops to determine whether it could have an effect on our contractual relationships.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harm our business and we cannot anticipate all of the ways in which the current macroeconomic and geopolitical climate and financial market conditions could adversely impact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Changes in tax law could adversely affect our business and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For example, the OBBBA Act was signed into law on July 4, 2025 and made significant changes to U.S. federal tax law. Changes to tax laws (which changes may have retroactive application), including with respect to net operating losses and research and development tax credits could adversely affect our business. For example, under the OBBBA Act, there were modifications to capitalization of research and development expenses, limitations on deductions for interest expense and accelerated fixed asset depreciation, among others. In recent years, many changes to tax laws have been made and changes are likely to continue to occur in the future. Future changes in tax laws could have a material adverse effect on our business, cash flow, financial condition or results of operations.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We urge investors to consult with their legal and tax advisers regarding the implications of potential changes in tax laws on an investment in our common stock. We continue to examine the impact this tax reform legislation may have on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none of our directors or officers (as defined in Rule 16a-1 under the Exchange Act) adopted or terminated a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exhibits filed or furnished as part of this Quarterly Report on Form 10-Q are set forth on the Exhibit Index, which Exhibit Index is incorporated herein by reference.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6"/>
        <w:gridCol w:w="224"/>
        <w:gridCol w:w="226"/>
        <w:gridCol w:w="109"/>
        <w:gridCol w:w="109"/>
        <w:gridCol w:w="109"/>
        <w:gridCol w:w="1624"/>
        <w:gridCol w:w="1490"/>
        <w:gridCol w:w="1507"/>
        <w:gridCol w:w="109"/>
        <w:gridCol w:w="109"/>
        <w:gridCol w:w="109"/>
        <w:gridCol w:w="245"/>
        <w:gridCol w:w="245"/>
        <w:gridCol w:w="246"/>
        <w:gridCol w:w="109"/>
        <w:gridCol w:w="109"/>
        <w:gridCol w:w="109"/>
        <w:gridCol w:w="210"/>
        <w:gridCol w:w="210"/>
        <w:gridCol w:w="211"/>
        <w:gridCol w:w="109"/>
        <w:gridCol w:w="109"/>
        <w:gridCol w:w="109"/>
        <w:gridCol w:w="364"/>
        <w:gridCol w:w="331"/>
        <w:gridCol w:w="332"/>
        <w:gridCol w:w="109"/>
        <w:gridCol w:w="109"/>
        <w:gridCol w:w="109"/>
        <w:gridCol w:w="245"/>
        <w:gridCol w:w="245"/>
        <w:gridCol w:w="359"/>
      </w:tblGrid>
      <w:tr>
        <w:trPr/>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to:</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or</w:t>
              <w:br/>
              <w:t>Schedule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w:t>
              <w:br/>
              <w:t>Date with</w:t>
              <w:br/>
              <w:t>SEC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w:t>
              <w:br/>
              <w:t>Number</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12,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333-188595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Certificate of Amendment to 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001-35986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18"/>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Certificate of Validation relating to Certificate of Amendment to the Amended and Restated Certificate of Incorporation of the Registrant dated May 26,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001-35986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18"/>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Certificate of Amendment No. 2 to 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001-35986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18"/>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Second Amended and Restated Bylaws of the Registrant dated April 29,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001-35986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12,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333-188595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spr-ex311x09302025.htm">
              <w:r>
                <w:rPr>
                  <w:rStyle w:val="InternetLink"/>
                  <w:rFonts w:ascii="Times New Roman;serif" w:hAnsi="Times New Roman;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spr-ex311x09302025.htm">
              <w:r>
                <w:rPr>
                  <w:rStyle w:val="InternetLink"/>
                  <w:rFonts w:ascii="Times New Roman;serif" w:hAnsi="Times New Roman;serif"/>
                  <w:b w:val="false"/>
                  <w:color w:val="0000FF"/>
                  <w:sz w:val="18"/>
                  <w:u w:val="single"/>
                </w:rPr>
                <w:t>Certification of Principal Executive Officer pursuant to Rule 13a-14(a) and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spr-ex312x09302025.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spr-ex312x09302025.htm">
              <w:r>
                <w:rPr>
                  <w:rStyle w:val="InternetLink"/>
                  <w:rFonts w:ascii="Times New Roman;serif" w:hAnsi="Times New Roman;serif"/>
                  <w:b w:val="false"/>
                  <w:color w:val="0000FF"/>
                  <w:sz w:val="18"/>
                  <w:u w:val="single"/>
                </w:rPr>
                <w:t>Certification of Principal Financial Officer pursuant to Rule 13a-14(a) and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spr-ex321x09302025.htm">
              <w:r>
                <w:rPr>
                  <w:rStyle w:val="InternetLink"/>
                  <w:rFonts w:ascii="Times New Roman;serif" w:hAnsi="Times New Roman;serif"/>
                  <w:b w:val="false"/>
                  <w:color w:val="0000FF"/>
                  <w:sz w:val="18"/>
                  <w:u w:val="single"/>
                </w:rPr>
                <w:t>32.1</w:t>
              </w:r>
            </w:hyperlink>
            <w:hyperlink w:anchor="espr-ex321x09302025.htm">
              <w:r>
                <w:rPr>
                  <w:rStyle w:val="InternetLink"/>
                  <w:rFonts w:ascii="Times New Roman;serif" w:hAnsi="Times New Roman;serif"/>
                  <w:b w:val="false"/>
                  <w:color w:val="0000FF"/>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spr-ex321x09302025.htm">
              <w:r>
                <w:rPr>
                  <w:rStyle w:val="InternetLink"/>
                  <w:rFonts w:ascii="Times New Roman;serif" w:hAnsi="Times New Roman;serif"/>
                  <w:b w:val="false"/>
                  <w:color w:val="0000FF"/>
                  <w:sz w:val="18"/>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with applicable taxonomy extension information contained in Exhibits 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5d1d705df31423db087005ea18f8575_7">
        <w:r>
          <w:rPr>
            <w:rStyle w:val="InternetLink"/>
            <w:rFonts w:ascii="Times New Roman;serif" w:hAnsi="Times New Roman;serif"/>
            <w:b w:val="false"/>
            <w:color w:val="0000FF"/>
            <w:sz w:val="20"/>
            <w:u w:val="single"/>
          </w:rPr>
          <w:t xml:space="preserve">Table of Contents </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331" w:type="dxa"/>
        <w:jc w:val="left"/>
        <w:tblInd w:w="0" w:type="dxa"/>
        <w:tblLayout w:type="fixed"/>
        <w:tblCellMar>
          <w:top w:w="28" w:type="dxa"/>
          <w:left w:w="28" w:type="dxa"/>
          <w:bottom w:w="28" w:type="dxa"/>
          <w:right w:w="28" w:type="dxa"/>
        </w:tblCellMar>
      </w:tblPr>
      <w:tblGrid>
        <w:gridCol w:w="587"/>
        <w:gridCol w:w="516"/>
        <w:gridCol w:w="517"/>
        <w:gridCol w:w="467"/>
        <w:gridCol w:w="467"/>
        <w:gridCol w:w="467"/>
        <w:gridCol w:w="1552"/>
        <w:gridCol w:w="1552"/>
        <w:gridCol w:w="2206"/>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ESPERION THERAPEUTICS, INC.</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Sheldon L. Koenig</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Sheldon L. Koenig</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Halladay</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Halladay</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OR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before="0" w:after="0"/>
        <w:jc w:val="center"/>
        <w:rPr/>
      </w:pPr>
      <w:r>
        <w:rPr/>
      </w:r>
    </w:p>
    <w:p>
      <w:pPr>
        <w:pStyle w:val="TextBody"/>
        <w:bidi w:val="0"/>
        <w:spacing w:lineRule="auto" w:line="288" w:before="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Sheldon L. Koenig,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September 30, 2025, of Esperion Therapeutics,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2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949"/>
        <w:gridCol w:w="949"/>
        <w:gridCol w:w="134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Sheldon L. Koenig</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Sheldon L. Koenig</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OR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Benjamin Halladay,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September 30, 2025, of Esperion Therapeutics,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79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552"/>
        <w:gridCol w:w="1552"/>
        <w:gridCol w:w="22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Halladay</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Halladay</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Esperion Therapeutics, Inc. (the “Company”) for the period ended September 30, 2025,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which this statement accompanies fully complies with the requirements of Section 13(a) or 15(d) of the Securities Exchange Act of 1934, as amended;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79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555"/>
        <w:gridCol w:w="1555"/>
        <w:gridCol w:w="219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Sheldon L. Koenig</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Sheldon L. Koenig</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Halladay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Halladay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4868/000104746913006896/a2215641zex-3_2.htm" TargetMode="External"/><Relationship Id="rId3" Type="http://schemas.openxmlformats.org/officeDocument/2006/relationships/hyperlink" Target="https://www.sec.gov/Archives/edgar/data/1434868/000104746913006896/a2215641zex-3_2.htm" TargetMode="External"/><Relationship Id="rId4" Type="http://schemas.openxmlformats.org/officeDocument/2006/relationships/hyperlink" Target="https://www.sec.gov/Archives/edgar/data/1434868/000162828022015488/exhibit31.htm" TargetMode="External"/><Relationship Id="rId5" Type="http://schemas.openxmlformats.org/officeDocument/2006/relationships/hyperlink" Target="https://www.sec.gov/Archives/edgar/data/1434868/000162828022015488/exhibit31.htm" TargetMode="External"/><Relationship Id="rId6" Type="http://schemas.openxmlformats.org/officeDocument/2006/relationships/hyperlink" Target="https://www.sec.gov/Archives/edgar/data/1434868/000162828022025245/exhibit31certificateofvali.htm" TargetMode="External"/><Relationship Id="rId7" Type="http://schemas.openxmlformats.org/officeDocument/2006/relationships/hyperlink" Target="https://www.sec.gov/Archives/edgar/data/1434868/000162828022025245/exhibit31certificateofvali.htm" TargetMode="External"/><Relationship Id="rId8" Type="http://schemas.openxmlformats.org/officeDocument/2006/relationships/hyperlink" Target="https://www.sec.gov/Archives/edgar/data/1434868/000162828023022276/exhibit3162023.htm" TargetMode="External"/><Relationship Id="rId9" Type="http://schemas.openxmlformats.org/officeDocument/2006/relationships/hyperlink" Target="https://www.sec.gov/Archives/edgar/data/1434868/000162828023022276/exhibit3162023.htm" TargetMode="External"/><Relationship Id="rId10" Type="http://schemas.openxmlformats.org/officeDocument/2006/relationships/hyperlink" Target="https://www.sec.gov/Archives/edgar/data/1434868/000162828021008918/ex31-secondamendedandresta.htm" TargetMode="External"/><Relationship Id="rId11" Type="http://schemas.openxmlformats.org/officeDocument/2006/relationships/hyperlink" Target="https://www.sec.gov/Archives/edgar/data/1434868/000162828021008918/ex31-secondamendedandresta.htm" TargetMode="External"/><Relationship Id="rId12" Type="http://schemas.openxmlformats.org/officeDocument/2006/relationships/hyperlink" Target="https://www.sec.gov/Archives/edgar/data/1434868/000104746913006896/a2215641zex-4_1.htm" TargetMode="External"/><Relationship Id="rId13" Type="http://schemas.openxmlformats.org/officeDocument/2006/relationships/hyperlink" Target="https://www.sec.gov/Archives/edgar/data/1434868/000104746913006896/a2215641zex-4_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33585</Words>
  <Characters>187899</Characters>
  <CharactersWithSpaces>220546</CharactersWithSpaces>
  <Paragraphs>1925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