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405765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431800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60325</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81" w:lineRule="exact"/>
        <w:rPr>
          <w:sz w:val="24"/>
          <w:szCs w:val="24"/>
          <w:color w:val="auto"/>
        </w:rPr>
      </w:pPr>
    </w:p>
    <w:p>
      <w:pPr>
        <w:ind w:left="1600" w:hanging="562"/>
        <w:spacing w:after="0"/>
        <w:tabs>
          <w:tab w:leader="none" w:pos="1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386" w:lineRule="exact"/>
        <w:rPr>
          <w:sz w:val="24"/>
          <w:szCs w:val="24"/>
          <w:color w:val="auto"/>
        </w:rPr>
      </w:pPr>
    </w:p>
    <w:p>
      <w:pPr>
        <w:ind w:left="1600" w:hanging="562"/>
        <w:spacing w:after="0"/>
        <w:tabs>
          <w:tab w:leader="none" w:pos="1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77"/>
        </w:trPr>
        <w:tc>
          <w:tcPr>
            <w:tcW w:w="3680" w:type="dxa"/>
            <w:vAlign w:val="bottom"/>
          </w:tcPr>
          <w:p>
            <w:pPr>
              <w:spacing w:after="0"/>
              <w:rPr>
                <w:sz w:val="24"/>
                <w:szCs w:val="24"/>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Commission file number: 001-35986</w:t>
            </w:r>
          </w:p>
        </w:tc>
        <w:tc>
          <w:tcPr>
            <w:tcW w:w="4300" w:type="dxa"/>
            <w:vAlign w:val="bottom"/>
          </w:tcPr>
          <w:p>
            <w:pPr>
              <w:spacing w:after="0"/>
              <w:rPr>
                <w:sz w:val="24"/>
                <w:szCs w:val="24"/>
                <w:color w:val="auto"/>
              </w:rPr>
            </w:pPr>
          </w:p>
        </w:tc>
      </w:tr>
      <w:tr>
        <w:trPr>
          <w:trHeight w:val="411"/>
        </w:trPr>
        <w:tc>
          <w:tcPr>
            <w:tcW w:w="3680" w:type="dxa"/>
            <w:vAlign w:val="bottom"/>
          </w:tcPr>
          <w:p>
            <w:pPr>
              <w:spacing w:after="0"/>
              <w:rPr>
                <w:sz w:val="24"/>
                <w:szCs w:val="24"/>
                <w:color w:val="auto"/>
              </w:rPr>
            </w:pPr>
          </w:p>
        </w:tc>
        <w:tc>
          <w:tcPr>
            <w:tcW w:w="7520" w:type="dxa"/>
            <w:vAlign w:val="bottom"/>
            <w:gridSpan w:val="2"/>
          </w:tcPr>
          <w:p>
            <w:pPr>
              <w:jc w:val="center"/>
              <w:ind w:right="3562"/>
              <w:spacing w:after="0"/>
              <w:rPr>
                <w:sz w:val="20"/>
                <w:szCs w:val="20"/>
                <w:color w:val="auto"/>
              </w:rPr>
            </w:pPr>
            <w:r>
              <w:rPr>
                <w:rFonts w:ascii="Times New Roman" w:cs="Times New Roman" w:eastAsia="Times New Roman" w:hAnsi="Times New Roman"/>
                <w:sz w:val="32"/>
                <w:szCs w:val="32"/>
                <w:b w:val="1"/>
                <w:bCs w:val="1"/>
                <w:color w:val="auto"/>
              </w:rPr>
              <w:t>Esperion Therapeutics, Inc.</w:t>
            </w:r>
          </w:p>
        </w:tc>
      </w:tr>
      <w:tr>
        <w:trPr>
          <w:trHeight w:val="210"/>
        </w:trPr>
        <w:tc>
          <w:tcPr>
            <w:tcW w:w="3680" w:type="dxa"/>
            <w:vAlign w:val="bottom"/>
          </w:tcPr>
          <w:p>
            <w:pPr>
              <w:spacing w:after="0"/>
              <w:rPr>
                <w:sz w:val="18"/>
                <w:szCs w:val="18"/>
                <w:color w:val="auto"/>
              </w:rPr>
            </w:pPr>
          </w:p>
        </w:tc>
        <w:tc>
          <w:tcPr>
            <w:tcW w:w="7520" w:type="dxa"/>
            <w:vAlign w:val="bottom"/>
            <w:gridSpan w:val="2"/>
          </w:tcPr>
          <w:p>
            <w:pPr>
              <w:jc w:val="center"/>
              <w:ind w:right="3542"/>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324"/>
        </w:trPr>
        <w:tc>
          <w:tcPr>
            <w:tcW w:w="3680" w:type="dxa"/>
            <w:vAlign w:val="bottom"/>
          </w:tcPr>
          <w:p>
            <w:pPr>
              <w:jc w:val="center"/>
              <w:ind w:left="162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20" w:type="dxa"/>
            <w:vAlign w:val="bottom"/>
          </w:tcPr>
          <w:p>
            <w:pPr>
              <w:spacing w:after="0"/>
              <w:rPr>
                <w:sz w:val="24"/>
                <w:szCs w:val="24"/>
                <w:color w:val="auto"/>
              </w:rPr>
            </w:pPr>
          </w:p>
        </w:tc>
        <w:tc>
          <w:tcPr>
            <w:tcW w:w="4300" w:type="dxa"/>
            <w:vAlign w:val="bottom"/>
          </w:tcPr>
          <w:p>
            <w:pPr>
              <w:jc w:val="center"/>
              <w:ind w:right="1022"/>
              <w:spacing w:after="0"/>
              <w:rPr>
                <w:sz w:val="20"/>
                <w:szCs w:val="20"/>
                <w:color w:val="auto"/>
              </w:rPr>
            </w:pPr>
            <w:r>
              <w:rPr>
                <w:rFonts w:ascii="Times New Roman" w:cs="Times New Roman" w:eastAsia="Times New Roman" w:hAnsi="Times New Roman"/>
                <w:sz w:val="16"/>
                <w:szCs w:val="16"/>
                <w:b w:val="1"/>
                <w:bCs w:val="1"/>
                <w:color w:val="auto"/>
              </w:rPr>
              <w:t>26-1870780</w:t>
            </w:r>
          </w:p>
        </w:tc>
      </w:tr>
      <w:tr>
        <w:trPr>
          <w:trHeight w:val="168"/>
        </w:trPr>
        <w:tc>
          <w:tcPr>
            <w:tcW w:w="3680" w:type="dxa"/>
            <w:vAlign w:val="bottom"/>
          </w:tcPr>
          <w:p>
            <w:pPr>
              <w:jc w:val="center"/>
              <w:ind w:left="1642"/>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220" w:type="dxa"/>
            <w:vAlign w:val="bottom"/>
          </w:tcPr>
          <w:p>
            <w:pPr>
              <w:spacing w:after="0"/>
              <w:rPr>
                <w:sz w:val="14"/>
                <w:szCs w:val="14"/>
                <w:color w:val="auto"/>
              </w:rPr>
            </w:pPr>
          </w:p>
        </w:tc>
        <w:tc>
          <w:tcPr>
            <w:tcW w:w="4300" w:type="dxa"/>
            <w:vAlign w:val="bottom"/>
          </w:tcPr>
          <w:p>
            <w:pPr>
              <w:jc w:val="center"/>
              <w:ind w:right="1022"/>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680" w:type="dxa"/>
            <w:vAlign w:val="bottom"/>
          </w:tcPr>
          <w:p>
            <w:pPr>
              <w:jc w:val="center"/>
              <w:ind w:left="1622"/>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20" w:type="dxa"/>
            <w:vAlign w:val="bottom"/>
          </w:tcPr>
          <w:p>
            <w:pPr>
              <w:spacing w:after="0"/>
              <w:rPr>
                <w:sz w:val="18"/>
                <w:szCs w:val="18"/>
                <w:color w:val="auto"/>
              </w:rPr>
            </w:pPr>
          </w:p>
        </w:tc>
        <w:tc>
          <w:tcPr>
            <w:tcW w:w="4300" w:type="dxa"/>
            <w:vAlign w:val="bottom"/>
          </w:tcPr>
          <w:p>
            <w:pPr>
              <w:jc w:val="center"/>
              <w:ind w:right="1022"/>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87"/>
        </w:trPr>
        <w:tc>
          <w:tcPr>
            <w:tcW w:w="3680" w:type="dxa"/>
            <w:vAlign w:val="bottom"/>
          </w:tcPr>
          <w:p>
            <w:pPr>
              <w:spacing w:after="0"/>
              <w:rPr>
                <w:sz w:val="24"/>
                <w:szCs w:val="24"/>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3891 Ranchero Drive, Suite 150</w:t>
            </w:r>
          </w:p>
        </w:tc>
        <w:tc>
          <w:tcPr>
            <w:tcW w:w="4300" w:type="dxa"/>
            <w:vAlign w:val="bottom"/>
          </w:tcPr>
          <w:p>
            <w:pPr>
              <w:spacing w:after="0"/>
              <w:rPr>
                <w:sz w:val="24"/>
                <w:szCs w:val="24"/>
                <w:color w:val="auto"/>
              </w:rPr>
            </w:pPr>
          </w:p>
        </w:tc>
      </w:tr>
      <w:tr>
        <w:trPr>
          <w:trHeight w:val="204"/>
        </w:trPr>
        <w:tc>
          <w:tcPr>
            <w:tcW w:w="3680" w:type="dxa"/>
            <w:vAlign w:val="bottom"/>
          </w:tcPr>
          <w:p>
            <w:pPr>
              <w:spacing w:after="0"/>
              <w:rPr>
                <w:sz w:val="17"/>
                <w:szCs w:val="17"/>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Ann Arbor, MI 48108</w:t>
            </w:r>
          </w:p>
        </w:tc>
        <w:tc>
          <w:tcPr>
            <w:tcW w:w="4300" w:type="dxa"/>
            <w:vAlign w:val="bottom"/>
          </w:tcPr>
          <w:p>
            <w:pPr>
              <w:spacing w:after="0"/>
              <w:rPr>
                <w:sz w:val="17"/>
                <w:szCs w:val="17"/>
                <w:color w:val="auto"/>
              </w:rPr>
            </w:pPr>
          </w:p>
        </w:tc>
      </w:tr>
      <w:tr>
        <w:trPr>
          <w:trHeight w:val="189"/>
        </w:trPr>
        <w:tc>
          <w:tcPr>
            <w:tcW w:w="3680" w:type="dxa"/>
            <w:vAlign w:val="bottom"/>
          </w:tcPr>
          <w:p>
            <w:pPr>
              <w:spacing w:after="0"/>
              <w:rPr>
                <w:sz w:val="16"/>
                <w:szCs w:val="16"/>
                <w:color w:val="auto"/>
              </w:rPr>
            </w:pPr>
          </w:p>
        </w:tc>
        <w:tc>
          <w:tcPr>
            <w:tcW w:w="7520" w:type="dxa"/>
            <w:vAlign w:val="bottom"/>
            <w:gridSpan w:val="2"/>
          </w:tcPr>
          <w:p>
            <w:pPr>
              <w:jc w:val="center"/>
              <w:ind w:right="3542"/>
              <w:spacing w:after="0"/>
              <w:rPr>
                <w:sz w:val="20"/>
                <w:szCs w:val="20"/>
                <w:color w:val="auto"/>
              </w:rPr>
            </w:pPr>
            <w:r>
              <w:rPr>
                <w:rFonts w:ascii="Times New Roman" w:cs="Times New Roman" w:eastAsia="Times New Roman" w:hAnsi="Times New Roman"/>
                <w:sz w:val="16"/>
                <w:szCs w:val="16"/>
                <w:color w:val="auto"/>
              </w:rPr>
              <w:t>(Address of principal executive office) (Zip Code)</w:t>
            </w:r>
          </w:p>
        </w:tc>
      </w:tr>
      <w:tr>
        <w:trPr>
          <w:trHeight w:val="210"/>
        </w:trPr>
        <w:tc>
          <w:tcPr>
            <w:tcW w:w="3680" w:type="dxa"/>
            <w:vAlign w:val="bottom"/>
          </w:tcPr>
          <w:p>
            <w:pPr>
              <w:spacing w:after="0"/>
              <w:rPr>
                <w:sz w:val="18"/>
                <w:szCs w:val="18"/>
                <w:color w:val="auto"/>
              </w:rPr>
            </w:pPr>
          </w:p>
        </w:tc>
        <w:tc>
          <w:tcPr>
            <w:tcW w:w="7520" w:type="dxa"/>
            <w:vAlign w:val="bottom"/>
            <w:gridSpan w:val="2"/>
          </w:tcPr>
          <w:p>
            <w:pPr>
              <w:jc w:val="center"/>
              <w:ind w:right="3562"/>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08"/>
        </w:trPr>
        <w:tc>
          <w:tcPr>
            <w:tcW w:w="3680" w:type="dxa"/>
            <w:vAlign w:val="bottom"/>
          </w:tcPr>
          <w:p>
            <w:pPr>
              <w:spacing w:after="0"/>
              <w:rPr>
                <w:sz w:val="18"/>
                <w:szCs w:val="18"/>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(734) 887-3903</w:t>
            </w:r>
          </w:p>
        </w:tc>
        <w:tc>
          <w:tcPr>
            <w:tcW w:w="4300" w:type="dxa"/>
            <w:vAlign w:val="bottom"/>
          </w:tcPr>
          <w:p>
            <w:pPr>
              <w:spacing w:after="0"/>
              <w:rPr>
                <w:sz w:val="18"/>
                <w:szCs w:val="18"/>
                <w:color w:val="auto"/>
              </w:rPr>
            </w:pPr>
          </w:p>
        </w:tc>
      </w:tr>
      <w:tr>
        <w:trPr>
          <w:trHeight w:val="210"/>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300" w:type="dxa"/>
            <w:vAlign w:val="bottom"/>
          </w:tcPr>
          <w:p>
            <w:pPr>
              <w:spacing w:after="0"/>
              <w:rPr>
                <w:sz w:val="18"/>
                <w:szCs w:val="18"/>
                <w:color w:val="auto"/>
              </w:rPr>
            </w:pPr>
          </w:p>
        </w:tc>
      </w:tr>
      <w:tr>
        <w:trPr>
          <w:trHeight w:val="307"/>
        </w:trPr>
        <w:tc>
          <w:tcPr>
            <w:tcW w:w="36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20" w:type="dxa"/>
            <w:vAlign w:val="bottom"/>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15"/>
        </w:trPr>
        <w:tc>
          <w:tcPr>
            <w:tcW w:w="3680" w:type="dxa"/>
            <w:vAlign w:val="bottom"/>
          </w:tcPr>
          <w:p>
            <w:pPr>
              <w:jc w:val="center"/>
              <w:ind w:right="182"/>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220" w:type="dxa"/>
            <w:vAlign w:val="bottom"/>
          </w:tcPr>
          <w:p>
            <w:pPr>
              <w:jc w:val="center"/>
              <w:ind w:left="513"/>
              <w:spacing w:after="0"/>
              <w:rPr>
                <w:sz w:val="20"/>
                <w:szCs w:val="20"/>
                <w:color w:val="auto"/>
              </w:rPr>
            </w:pPr>
            <w:r>
              <w:rPr>
                <w:rFonts w:ascii="Times New Roman" w:cs="Times New Roman" w:eastAsia="Times New Roman" w:hAnsi="Times New Roman"/>
                <w:sz w:val="14"/>
                <w:szCs w:val="14"/>
                <w:color w:val="auto"/>
              </w:rPr>
              <w:t>ESPR</w:t>
            </w:r>
          </w:p>
        </w:tc>
        <w:tc>
          <w:tcPr>
            <w:tcW w:w="4300" w:type="dxa"/>
            <w:vAlign w:val="bottom"/>
          </w:tcPr>
          <w:p>
            <w:pPr>
              <w:jc w:val="center"/>
              <w:ind w:left="802"/>
              <w:spacing w:after="0"/>
              <w:rPr>
                <w:sz w:val="20"/>
                <w:szCs w:val="20"/>
                <w:color w:val="auto"/>
              </w:rPr>
            </w:pPr>
            <w:r>
              <w:rPr>
                <w:rFonts w:ascii="Arial" w:cs="Arial" w:eastAsia="Arial" w:hAnsi="Arial"/>
                <w:sz w:val="14"/>
                <w:szCs w:val="14"/>
                <w:color w:val="auto"/>
              </w:rPr>
              <w:t xml:space="preserve">NASDAQ </w:t>
            </w:r>
            <w:r>
              <w:rPr>
                <w:rFonts w:ascii="Times New Roman" w:cs="Times New Roman" w:eastAsia="Times New Roman" w:hAnsi="Times New Roman"/>
                <w:sz w:val="14"/>
                <w:szCs w:val="14"/>
                <w:color w:val="auto"/>
              </w:rPr>
              <w:t>Stock Market LLC</w:t>
            </w:r>
          </w:p>
        </w:tc>
      </w:tr>
    </w:tbl>
    <w:p>
      <w:pPr>
        <w:spacing w:after="0" w:line="102"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90 days.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o</w:t>
      </w:r>
    </w:p>
    <w:p>
      <w:pPr>
        <w:spacing w:after="0" w:line="14" w:lineRule="exact"/>
        <w:rPr>
          <w:sz w:val="24"/>
          <w:szCs w:val="24"/>
          <w:color w:val="auto"/>
        </w:rPr>
      </w:pPr>
    </w:p>
    <w:p>
      <w:pPr>
        <w:ind w:right="240"/>
        <w:spacing w:after="0" w:line="25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o</w:t>
      </w:r>
    </w:p>
    <w:p>
      <w:pPr>
        <w:ind w:right="16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88" w:right="339" w:bottom="1440" w:gutter="0" w:footer="0" w:header="0"/>
        </w:sectPr>
      </w:pPr>
    </w:p>
    <w:p>
      <w:pPr>
        <w:spacing w:after="0" w:line="9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Accelerated filer </w:t>
      </w:r>
      <w:r>
        <w:rPr>
          <w:rFonts w:ascii="Arial" w:cs="Arial" w:eastAsia="Arial" w:hAnsi="Arial"/>
          <w:sz w:val="15"/>
          <w:szCs w:val="15"/>
          <w:color w:val="auto"/>
        </w:rPr>
        <w:t>o</w:t>
      </w:r>
    </w:p>
    <w:p>
      <w:pPr>
        <w:spacing w:after="0" w:line="96" w:lineRule="exact"/>
        <w:rPr>
          <w:sz w:val="24"/>
          <w:szCs w:val="24"/>
          <w:color w:val="auto"/>
        </w:rPr>
      </w:pPr>
    </w:p>
    <w:p>
      <w:pPr>
        <w:sectPr>
          <w:pgSz w:w="11900" w:h="16838" w:orient="portrait"/>
          <w:cols w:equalWidth="0" w:num="2">
            <w:col w:w="6800" w:space="720"/>
            <w:col w:w="3720"/>
          </w:cols>
          <w:pgMar w:left="320" w:top="988" w:right="33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08" w:lineRule="exact"/>
        <w:rPr>
          <w:sz w:val="24"/>
          <w:szCs w:val="24"/>
          <w:color w:val="auto"/>
        </w:rPr>
      </w:pPr>
    </w:p>
    <w:p>
      <w:pPr>
        <w:sectPr>
          <w:pgSz w:w="11900" w:h="16838" w:orient="portrait"/>
          <w:cols w:equalWidth="0" w:num="3">
            <w:col w:w="6080" w:space="720"/>
            <w:col w:w="1760" w:space="80"/>
            <w:col w:w="2600"/>
          </w:cols>
          <w:pgMar w:left="320" w:top="988" w:right="339" w:bottom="1440" w:gutter="0" w:footer="0" w:header="0"/>
          <w:type w:val="continuous"/>
        </w:sectPr>
      </w:pPr>
    </w:p>
    <w:p>
      <w:pPr>
        <w:ind w:left="6840"/>
        <w:spacing w:after="0"/>
        <w:rPr>
          <w:sz w:val="20"/>
          <w:szCs w:val="20"/>
          <w:color w:val="auto"/>
        </w:rPr>
      </w:pPr>
      <w:r>
        <w:rPr>
          <w:rFonts w:ascii="Times New Roman" w:cs="Times New Roman" w:eastAsia="Times New Roman" w:hAnsi="Times New Roman"/>
          <w:sz w:val="15"/>
          <w:szCs w:val="15"/>
          <w:color w:val="auto"/>
        </w:rPr>
        <w:t xml:space="preserve">Emerging growth company </w:t>
      </w:r>
      <w:r>
        <w:rPr>
          <w:rFonts w:ascii="Arial" w:cs="Arial" w:eastAsia="Arial" w:hAnsi="Arial"/>
          <w:sz w:val="15"/>
          <w:szCs w:val="15"/>
          <w:color w:val="auto"/>
        </w:rPr>
        <w:t>o</w:t>
      </w:r>
    </w:p>
    <w:p>
      <w:pPr>
        <w:sectPr>
          <w:pgSz w:w="11900" w:h="16838" w:orient="portrait"/>
          <w:cols w:equalWidth="0" w:num="1">
            <w:col w:w="11240"/>
          </w:cols>
          <w:pgMar w:left="320" w:top="988" w:right="339" w:bottom="1440" w:gutter="0" w:footer="0" w:header="0"/>
          <w:type w:val="continuous"/>
        </w:sectPr>
      </w:pPr>
    </w:p>
    <w:p>
      <w:pPr>
        <w:spacing w:after="0" w:line="124" w:lineRule="exact"/>
        <w:rPr>
          <w:sz w:val="24"/>
          <w:szCs w:val="24"/>
          <w:color w:val="auto"/>
        </w:rPr>
      </w:pPr>
    </w:p>
    <w:p>
      <w:pPr>
        <w:ind w:right="580"/>
        <w:spacing w:after="0" w:line="26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 w:lineRule="exact"/>
        <w:rPr>
          <w:sz w:val="24"/>
          <w:szCs w:val="24"/>
          <w:color w:val="auto"/>
        </w:rPr>
      </w:pPr>
    </w:p>
    <w:p>
      <w:pPr>
        <w:ind w:right="2840"/>
        <w:spacing w:after="0" w:line="1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As of October 31, 2022, there were 73,683,572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398145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424180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1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20" w:type="dxa"/>
            <w:vAlign w:val="bottom"/>
            <w:gridSpan w:val="10"/>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 Financial Statements</w:t>
            </w:r>
          </w:p>
        </w:tc>
        <w:tc>
          <w:tcPr>
            <w:tcW w:w="1900" w:type="dxa"/>
            <w:vAlign w:val="bottom"/>
            <w:gridSpan w:val="4"/>
          </w:tcPr>
          <w:p>
            <w:pPr>
              <w:spacing w:after="0"/>
              <w:rPr>
                <w:sz w:val="24"/>
                <w:szCs w:val="24"/>
                <w:color w:val="auto"/>
              </w:rPr>
            </w:pPr>
          </w:p>
        </w:tc>
        <w:tc>
          <w:tcPr>
            <w:tcW w:w="3240" w:type="dxa"/>
            <w:vAlign w:val="bottom"/>
            <w:tcBorders>
              <w:top w:val="single" w:sz="8" w:color="0000FF"/>
            </w:tcBorders>
            <w:gridSpan w:val="6"/>
          </w:tcPr>
          <w:p>
            <w:pPr>
              <w:spacing w:after="0"/>
              <w:rPr>
                <w:sz w:val="24"/>
                <w:szCs w:val="24"/>
                <w:color w:val="auto"/>
              </w:rPr>
            </w:pPr>
          </w:p>
        </w:tc>
        <w:tc>
          <w:tcPr>
            <w:tcW w:w="288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Balance Sheets at September 30, 2022 and December 31, 202</w:t>
            </w:r>
            <w:r>
              <w:rPr>
                <w:rFonts w:ascii="Times New Roman" w:cs="Times New Roman" w:eastAsia="Times New Roman" w:hAnsi="Times New Roman"/>
                <w:sz w:val="18"/>
                <w:szCs w:val="18"/>
                <w:color w:val="0E32E1"/>
              </w:rPr>
              <w:t>1</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 for the three and nine month periods ended September 30, 2022</w:t>
            </w:r>
          </w:p>
        </w:tc>
        <w:tc>
          <w:tcPr>
            <w:tcW w:w="11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and 2021</w:t>
            </w:r>
          </w:p>
        </w:tc>
        <w:tc>
          <w:tcPr>
            <w:tcW w:w="8220" w:type="dxa"/>
            <w:vAlign w:val="bottom"/>
            <w:tcBorders>
              <w:top w:val="single" w:sz="8" w:color="0000FF"/>
            </w:tcBorders>
            <w:gridSpan w:val="15"/>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58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Statements of Stockholders’ Deficit for the three and nine month periods ended September 30, 2022 and 2021</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 for the nine month periods ended September 30, 2022 and 2021</w:t>
            </w:r>
          </w:p>
        </w:tc>
        <w:tc>
          <w:tcPr>
            <w:tcW w:w="14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Financial Statements</w:t>
            </w:r>
          </w:p>
        </w:tc>
        <w:tc>
          <w:tcPr>
            <w:tcW w:w="2080" w:type="dxa"/>
            <w:vAlign w:val="bottom"/>
            <w:gridSpan w:val="3"/>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6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3.</w:t>
            </w:r>
          </w:p>
        </w:tc>
        <w:tc>
          <w:tcPr>
            <w:tcW w:w="43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4"/>
          </w:tcPr>
          <w:p>
            <w:pPr>
              <w:spacing w:after="0"/>
              <w:rPr>
                <w:sz w:val="24"/>
                <w:szCs w:val="24"/>
                <w:color w:val="auto"/>
              </w:rPr>
            </w:pPr>
          </w:p>
        </w:tc>
        <w:tc>
          <w:tcPr>
            <w:tcW w:w="306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43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160" w:type="dxa"/>
            <w:vAlign w:val="bottom"/>
            <w:gridSpan w:val="9"/>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479"/>
        </w:trPr>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760" w:type="dxa"/>
            <w:vAlign w:val="bottom"/>
            <w:gridSpan w:val="13"/>
          </w:tcPr>
          <w:p>
            <w:pPr>
              <w:ind w:left="1240"/>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9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1.</w:t>
            </w:r>
          </w:p>
        </w:tc>
        <w:tc>
          <w:tcPr>
            <w:tcW w:w="30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2940" w:type="dxa"/>
            <w:vAlign w:val="bottom"/>
            <w:tcBorders>
              <w:top w:val="single" w:sz="8" w:color="0000FF"/>
            </w:tcBorders>
            <w:gridSpan w:val="6"/>
          </w:tcPr>
          <w:p>
            <w:pPr>
              <w:spacing w:after="0"/>
              <w:rPr>
                <w:sz w:val="24"/>
                <w:szCs w:val="24"/>
                <w:color w:val="auto"/>
              </w:rPr>
            </w:pPr>
          </w:p>
        </w:tc>
        <w:tc>
          <w:tcPr>
            <w:tcW w:w="3580" w:type="dxa"/>
            <w:vAlign w:val="bottom"/>
            <w:gridSpan w:val="6"/>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200" w:type="dxa"/>
            <w:vAlign w:val="bottom"/>
            <w:gridSpan w:val="15"/>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500" w:type="dxa"/>
            <w:vAlign w:val="bottom"/>
            <w:gridSpan w:val="1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6"/>
              </w:rPr>
              <w:t>Exhibits</w:t>
            </w:r>
          </w:p>
        </w:tc>
        <w:tc>
          <w:tcPr>
            <w:tcW w:w="420" w:type="dxa"/>
            <w:vAlign w:val="bottom"/>
            <w:gridSpan w:val="2"/>
          </w:tcPr>
          <w:p>
            <w:pPr>
              <w:spacing w:after="0"/>
              <w:rPr>
                <w:sz w:val="24"/>
                <w:szCs w:val="24"/>
                <w:color w:val="auto"/>
              </w:rPr>
            </w:pPr>
          </w:p>
        </w:tc>
        <w:tc>
          <w:tcPr>
            <w:tcW w:w="8500" w:type="dxa"/>
            <w:vAlign w:val="bottom"/>
            <w:gridSpan w:val="16"/>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920" w:type="dxa"/>
            <w:vAlign w:val="bottom"/>
            <w:gridSpan w:val="1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340" w:type="dxa"/>
            <w:vAlign w:val="bottom"/>
          </w:tcPr>
          <w:p>
            <w:pPr>
              <w:spacing w:after="0"/>
              <w:rPr>
                <w:sz w:val="24"/>
                <w:szCs w:val="24"/>
                <w:color w:val="auto"/>
              </w:rPr>
            </w:pPr>
          </w:p>
        </w:tc>
        <w:tc>
          <w:tcPr>
            <w:tcW w:w="8920" w:type="dxa"/>
            <w:vAlign w:val="bottom"/>
            <w:gridSpan w:val="18"/>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208,892</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50,441</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22,934</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clinical development costs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34,394</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prepaid and current assets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328,972</w:t>
            </w:r>
          </w:p>
        </w:tc>
      </w:tr>
      <w:tr>
        <w:trPr>
          <w:trHeight w:val="203"/>
        </w:trPr>
        <w:tc>
          <w:tcPr>
            <w:tcW w:w="8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17,559</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clinical development costs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30,410</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interest liability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from collaborations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73,352</w:t>
            </w:r>
          </w:p>
        </w:tc>
      </w:tr>
      <w:tr>
        <w:trPr>
          <w:trHeight w:val="183"/>
        </w:trPr>
        <w:tc>
          <w:tcPr>
            <w:tcW w:w="8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notes, net of issuance costs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258,280</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interest liability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245,744</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from collaborations</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606,927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578,534</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5"/>
        </w:trPr>
        <w:tc>
          <w:tcPr>
            <w:tcW w:w="82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5,000,000 shares authorized and no shares issued or outstanding as of</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2022 and December 31, 2021</w:t>
            </w:r>
          </w:p>
        </w:tc>
        <w:tc>
          <w:tcPr>
            <w:tcW w:w="1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$0.001 par value; 240,000,000 shares authorized as of September 30, 2022 and 120,000,000</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4"/>
        </w:trPr>
        <w:tc>
          <w:tcPr>
            <w:tcW w:w="82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shares authorized as of December 31, 2021; 73,739,320 shares issued at September 30, 2022 and 62,873,694</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at December 31, 2021</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964,401</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1,994,198 shares at September 30, 2022 and December 31, 2021</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(1,284,549)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(1,106,377)</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(196,944)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7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40,896</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27,855</w:t>
            </w:r>
          </w:p>
        </w:tc>
        <w:tc>
          <w:tcPr>
            <w:tcW w:w="10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35,191</w:t>
            </w:r>
          </w:p>
        </w:tc>
        <w:tc>
          <w:tcPr>
            <w:tcW w:w="100" w:type="dxa"/>
            <w:vAlign w:val="bottom"/>
            <w:shd w:val="clear" w:color="auto" w:fill="CCEEFF"/>
          </w:tcPr>
          <w:p>
            <w:pPr>
              <w:spacing w:after="0"/>
              <w:rPr>
                <w:sz w:val="19"/>
                <w:szCs w:val="19"/>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63,046</w:t>
            </w:r>
          </w:p>
        </w:tc>
        <w:tc>
          <w:tcPr>
            <w:tcW w:w="100" w:type="dxa"/>
            <w:vAlign w:val="bottom"/>
            <w:tcBorders>
              <w:bottom w:val="single" w:sz="8" w:color="CCEEFF"/>
            </w:tcBorders>
          </w:tcPr>
          <w:p>
            <w:pPr>
              <w:spacing w:after="0"/>
              <w:rPr>
                <w:sz w:val="19"/>
                <w:szCs w:val="19"/>
                <w:color w:val="auto"/>
              </w:rPr>
            </w:pPr>
          </w:p>
        </w:tc>
      </w:tr>
      <w:tr>
        <w:trPr>
          <w:trHeight w:val="250"/>
        </w:trPr>
        <w:tc>
          <w:tcPr>
            <w:tcW w:w="5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100" w:type="dxa"/>
            <w:vAlign w:val="bottom"/>
            <w:shd w:val="clear" w:color="auto" w:fill="CCEEFF"/>
          </w:tcPr>
          <w:p>
            <w:pPr>
              <w:spacing w:after="0"/>
              <w:rPr>
                <w:sz w:val="19"/>
                <w:szCs w:val="19"/>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78,359</w:t>
            </w:r>
          </w:p>
        </w:tc>
        <w:tc>
          <w:tcPr>
            <w:tcW w:w="10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146,647</w:t>
            </w:r>
          </w:p>
        </w:tc>
        <w:tc>
          <w:tcPr>
            <w:tcW w:w="100" w:type="dxa"/>
            <w:vAlign w:val="bottom"/>
            <w:shd w:val="clear" w:color="auto" w:fill="CCEEFF"/>
          </w:tcPr>
          <w:p>
            <w:pPr>
              <w:spacing w:after="0"/>
              <w:rPr>
                <w:sz w:val="19"/>
                <w:szCs w:val="19"/>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193,645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234,148</w:t>
            </w:r>
          </w:p>
        </w:tc>
        <w:tc>
          <w:tcPr>
            <w:tcW w:w="100" w:type="dxa"/>
            <w:vAlign w:val="bottom"/>
            <w:tcBorders>
              <w:bottom w:val="single" w:sz="8" w:color="CCEEFF"/>
            </w:tcBorders>
          </w:tcPr>
          <w:p>
            <w:pPr>
              <w:spacing w:after="0"/>
              <w:rPr>
                <w:sz w:val="19"/>
                <w:szCs w:val="19"/>
                <w:color w:val="auto"/>
              </w:rPr>
            </w:pPr>
          </w:p>
        </w:tc>
      </w:tr>
      <w:tr>
        <w:trPr>
          <w:trHeight w:val="250"/>
        </w:trPr>
        <w:tc>
          <w:tcPr>
            <w:tcW w:w="5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(171,102)</w:t>
            </w:r>
          </w:p>
        </w:tc>
        <w:tc>
          <w:tcPr>
            <w:tcW w:w="100" w:type="dxa"/>
            <w:vAlign w:val="bottom"/>
          </w:tcPr>
          <w:p>
            <w:pPr>
              <w:spacing w:after="0"/>
              <w:rPr>
                <w:sz w:val="19"/>
                <w:szCs w:val="19"/>
                <w:color w:val="auto"/>
              </w:rPr>
            </w:pPr>
          </w:p>
        </w:tc>
      </w:tr>
      <w:tr>
        <w:trPr>
          <w:trHeight w:val="270"/>
        </w:trPr>
        <w:tc>
          <w:tcPr>
            <w:tcW w:w="5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(32,923)</w:t>
            </w:r>
          </w:p>
        </w:tc>
        <w:tc>
          <w:tcPr>
            <w:tcW w:w="10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(178,172)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(203,989)</w:t>
            </w:r>
          </w:p>
        </w:tc>
        <w:tc>
          <w:tcPr>
            <w:tcW w:w="100" w:type="dxa"/>
            <w:vAlign w:val="bottom"/>
          </w:tcPr>
          <w:p>
            <w:pPr>
              <w:spacing w:after="0"/>
              <w:rPr>
                <w:sz w:val="19"/>
                <w:szCs w:val="19"/>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22"/>
        </w:trPr>
        <w:tc>
          <w:tcPr>
            <w:tcW w:w="5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7"/>
                <w:szCs w:val="17"/>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5"/>
        </w:trPr>
        <w:tc>
          <w:tcPr>
            <w:tcW w:w="5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03"/>
        </w:trPr>
        <w:tc>
          <w:tcPr>
            <w:tcW w:w="5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67,806,292</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26,455,209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64,021,248</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26,225,730</w:t>
            </w:r>
          </w:p>
        </w:tc>
        <w:tc>
          <w:tcPr>
            <w:tcW w:w="100" w:type="dxa"/>
            <w:vAlign w:val="bottom"/>
          </w:tcPr>
          <w:p>
            <w:pPr>
              <w:spacing w:after="0"/>
              <w:rPr>
                <w:sz w:val="17"/>
                <w:szCs w:val="17"/>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(54,913)</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(69,386)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(178,234)</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(203,989)</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Deficit</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2260" w:type="dxa"/>
            <w:vAlign w:val="bottom"/>
            <w:gridSpan w:val="4"/>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98"/>
        </w:trPr>
        <w:tc>
          <w:tcPr>
            <w:tcW w:w="2780" w:type="dxa"/>
            <w:vAlign w:val="bottom"/>
          </w:tcPr>
          <w:p>
            <w:pPr>
              <w:spacing w:after="0"/>
              <w:rPr>
                <w:sz w:val="8"/>
                <w:szCs w:val="8"/>
                <w:color w:val="auto"/>
              </w:rPr>
            </w:pPr>
          </w:p>
        </w:tc>
        <w:tc>
          <w:tcPr>
            <w:tcW w:w="22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restart"/>
          </w:tcPr>
          <w:p>
            <w:pPr>
              <w:jc w:val="right"/>
              <w:ind w:right="172"/>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vMerge w:val="restart"/>
          </w:tcPr>
          <w:p>
            <w:pPr>
              <w:jc w:val="right"/>
              <w:ind w:right="112"/>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vMerge w:val="restart"/>
          </w:tcPr>
          <w:p>
            <w:pPr>
              <w:jc w:val="center"/>
              <w:ind w:right="72"/>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restart"/>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restart"/>
          </w:tcPr>
          <w:p>
            <w:pPr>
              <w:jc w:val="center"/>
              <w:ind w:right="32"/>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1"/>
        </w:trPr>
        <w:tc>
          <w:tcPr>
            <w:tcW w:w="27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25,916,168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(96,134)</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Adoption of ASU 2020-06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(93,475)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(91,927)</w:t>
            </w: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25,916,168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(188,061)</w:t>
            </w:r>
          </w:p>
        </w:tc>
        <w:tc>
          <w:tcPr>
            <w:tcW w:w="0" w:type="dxa"/>
            <w:vAlign w:val="bottom"/>
          </w:tcPr>
          <w:p>
            <w:pPr>
              <w:spacing w:after="0"/>
              <w:rPr>
                <w:sz w:val="1"/>
                <w:szCs w:val="1"/>
                <w:color w:val="auto"/>
              </w:rPr>
            </w:pPr>
          </w:p>
        </w:tc>
      </w:tr>
      <w:tr>
        <w:trPr>
          <w:trHeight w:val="230"/>
        </w:trPr>
        <w:tc>
          <w:tcPr>
            <w:tcW w:w="2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Vesting of ESPP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(90,935)</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26,182,719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(269,394)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10,477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ind w:left="9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(43,668)</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26,274,335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722,534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(971,872)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(304,310)</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8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color w:val="auto"/>
              </w:rPr>
              <w:t>Issuance of common stock from</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ATM program, net of issuance costs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363,061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Vesting of ESPP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(69,386)</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26,800,369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(362,705)</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232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6"/>
        </w:trPr>
        <w:tc>
          <w:tcPr>
            <w:tcW w:w="2780" w:type="dxa"/>
            <w:vAlign w:val="bottom"/>
          </w:tcPr>
          <w:p>
            <w:pPr>
              <w:spacing w:after="0"/>
              <w:rPr>
                <w:sz w:val="8"/>
                <w:szCs w:val="8"/>
                <w:color w:val="auto"/>
              </w:rPr>
            </w:pPr>
          </w:p>
        </w:tc>
        <w:tc>
          <w:tcPr>
            <w:tcW w:w="2320" w:type="dxa"/>
            <w:vAlign w:val="bottom"/>
            <w:gridSpan w:val="5"/>
            <w:vMerge w:val="continue"/>
          </w:tcPr>
          <w:p>
            <w:pPr>
              <w:spacing w:after="0"/>
              <w:rPr>
                <w:sz w:val="8"/>
                <w:szCs w:val="8"/>
                <w:color w:val="auto"/>
              </w:rPr>
            </w:pPr>
          </w:p>
        </w:tc>
        <w:tc>
          <w:tcPr>
            <w:tcW w:w="118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8"/>
                <w:szCs w:val="8"/>
                <w:color w:val="auto"/>
              </w:rPr>
            </w:pPr>
          </w:p>
        </w:tc>
        <w:tc>
          <w:tcPr>
            <w:tcW w:w="116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8"/>
                <w:szCs w:val="8"/>
                <w:color w:val="auto"/>
              </w:rPr>
            </w:pPr>
          </w:p>
        </w:tc>
        <w:tc>
          <w:tcPr>
            <w:tcW w:w="130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8"/>
                <w:szCs w:val="8"/>
                <w:color w:val="auto"/>
              </w:rPr>
            </w:pPr>
          </w:p>
        </w:tc>
        <w:tc>
          <w:tcPr>
            <w:tcW w:w="9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8"/>
                <w:szCs w:val="8"/>
                <w:color w:val="auto"/>
              </w:rPr>
            </w:pPr>
          </w:p>
        </w:tc>
        <w:tc>
          <w:tcPr>
            <w:tcW w:w="1040" w:type="dxa"/>
            <w:vAlign w:val="bottom"/>
            <w:vMerge w:val="restart"/>
          </w:tcPr>
          <w:p>
            <w:pPr>
              <w:jc w:val="center"/>
              <w:ind w:right="72"/>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0"/>
        </w:trPr>
        <w:tc>
          <w:tcPr>
            <w:tcW w:w="2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80" w:type="dxa"/>
            <w:vAlign w:val="bottom"/>
          </w:tcPr>
          <w:p>
            <w:pPr>
              <w:spacing w:after="0"/>
              <w:rPr>
                <w:sz w:val="17"/>
                <w:szCs w:val="17"/>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60,879,496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(196,944)</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ESPP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7"/>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(56,731)</w:t>
            </w:r>
          </w:p>
        </w:tc>
        <w:tc>
          <w:tcPr>
            <w:tcW w:w="0" w:type="dxa"/>
            <w:vAlign w:val="bottom"/>
          </w:tcPr>
          <w:p>
            <w:pPr>
              <w:spacing w:after="0"/>
              <w:rPr>
                <w:sz w:val="1"/>
                <w:szCs w:val="1"/>
                <w:color w:val="auto"/>
              </w:rPr>
            </w:pPr>
          </w:p>
        </w:tc>
      </w:tr>
      <w:tr>
        <w:trPr>
          <w:trHeight w:val="228"/>
        </w:trPr>
        <w:tc>
          <w:tcPr>
            <w:tcW w:w="278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Balance at March 31, 2022</w:t>
            </w:r>
          </w:p>
        </w:tc>
        <w:tc>
          <w:tcPr>
            <w:tcW w:w="12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61,058,567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969,268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(1,163,108)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(249,040)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tcBorders>
              <w:top w:val="single" w:sz="8" w:color="CCEEFF"/>
            </w:tcBorders>
            <w:vMerge w:val="continue"/>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184,407</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ind w:left="8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175"/>
        </w:trPr>
        <w:tc>
          <w:tcPr>
            <w:tcW w:w="27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from</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ATM program, net of issuance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(66,324)</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64,595,974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(291,698)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tcBorders>
              <w:top w:val="single" w:sz="8" w:color="CCEEFF"/>
            </w:tcBorders>
            <w:vMerge w:val="continue"/>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108,200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ind w:left="8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ESPP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from</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ATM program, net of issuance costs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6,958,525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48,673</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(55,117)</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71,745,122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1,045,468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(1,284,549)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(294,100)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(178,172)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(203,989)</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premiums and discounts on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interest expense related to the revenue interest liability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23,310</w:t>
            </w:r>
          </w:p>
        </w:tc>
        <w:tc>
          <w:tcPr>
            <w:tcW w:w="0" w:type="dxa"/>
            <w:vAlign w:val="bottom"/>
          </w:tcPr>
          <w:p>
            <w:pPr>
              <w:spacing w:after="0"/>
              <w:rPr>
                <w:sz w:val="1"/>
                <w:szCs w:val="1"/>
                <w:color w:val="auto"/>
              </w:rPr>
            </w:pP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19,832</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Prepaids and other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3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0" w:type="dxa"/>
            <w:vAlign w:val="bottom"/>
          </w:tcPr>
          <w:p>
            <w:pPr>
              <w:spacing w:after="0"/>
              <w:rPr>
                <w:sz w:val="1"/>
                <w:szCs w:val="1"/>
                <w:color w:val="auto"/>
              </w:rPr>
            </w:pPr>
          </w:p>
        </w:tc>
      </w:tr>
      <w:tr>
        <w:trPr>
          <w:trHeight w:val="223"/>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(206,103)</w:t>
            </w:r>
          </w:p>
        </w:tc>
        <w:tc>
          <w:tcPr>
            <w:tcW w:w="0" w:type="dxa"/>
            <w:vAlign w:val="bottom"/>
          </w:tcPr>
          <w:p>
            <w:pPr>
              <w:spacing w:after="0"/>
              <w:rPr>
                <w:sz w:val="1"/>
                <w:szCs w:val="1"/>
                <w:color w:val="auto"/>
              </w:rPr>
            </w:pPr>
          </w:p>
        </w:tc>
      </w:tr>
      <w:tr>
        <w:trPr>
          <w:trHeight w:val="270"/>
        </w:trPr>
        <w:tc>
          <w:tcPr>
            <w:tcW w:w="7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sales/maturities of investments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revenue interest liability, net of issuance costs</w:t>
            </w: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49,917</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from ATM program, net of issuance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revenue interest liability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 of issuance costs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54,813</w:t>
            </w: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(151,290)</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258,892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304,962</w:t>
            </w:r>
          </w:p>
        </w:tc>
        <w:tc>
          <w:tcPr>
            <w:tcW w:w="0" w:type="dxa"/>
            <w:vAlign w:val="bottom"/>
          </w:tcPr>
          <w:p>
            <w:pPr>
              <w:spacing w:after="0"/>
              <w:rPr>
                <w:sz w:val="1"/>
                <w:szCs w:val="1"/>
                <w:color w:val="auto"/>
              </w:rPr>
            </w:pP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153,672</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issuance costs not yet paid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 cash right of use asset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Basis of Presentation</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Esperion Therapeutics, Inc. ("the Company”) is a pharmaceutical company singularly focused on developing and commercializing accessible, oral, once-daily, non-statin medicines for patients struggling with elevated low-density lipoprotein cholesterol ("LDL-C"). Through commercial execution and advancement of the CLEAR Outcomes trial as well as the Company's pre-clinical pipeline, the Company continues to evolve into a differentiated, global cardiometabolic biotech. The Esperion team of lipid experts are dedicated to lowering bad cholesterol through the discovery, development and commercialization of innovative medicines and their combinations with established medicines. The Company's first two products were approved by the U.S. Food and Drug Administration ("FDA"), European Medicines Agency ("EMA") and Swiss Agency for Therapeutic Products ("Swissmedic") in 2020. Bempedoic acid and the bempedoic acid / ezetimibe combination tablet are oral, once-daily, non-statin, LDL-C lowering medicines for patients with atherosclerotic cardiovascular disease ("ASCVD") or heterozygous familial hypercholesterolemia ("HeFH").</w:t>
      </w:r>
    </w:p>
    <w:p>
      <w:pPr>
        <w:spacing w:after="0" w:line="1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November 1, 2022, the Company announced that it is continuing to close out its CLEAR (Cholesterol Lowering via Bempedoic acid, an ACL-Inhibiting Regimen) Outcomes study of NEXLETOL®. The Company continues to anticipate reporting top-line results from the study in January 2023.</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primary activities since incorporation have been conducting research and development activities, including nonclinical, preclinical and clinical testing, performing business and financial planning, recruiting personnel, and raising capital. The Company received approval by the FDA in February 2020 to commercialize NEXLETOL (bempedoic acid) and NEXLIZET® (bempedoic acid and ezetimibe) tablet in the U.S., and accordingly commenced principal operations on March 30, 2020 with the commercialization of NEXLETOL. The Company is subject to risks and uncertainties which include the need to successfully commercialize its products, research, develop, and clinically test therapeutic products; obtain regulatory approvals for its products; manage its management, commercial and scientific staff; and finance its operations with an ultimate goal of achieving profitable operations.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sustained annual operating losses since inception and expects such losses to continue over the foreseeable future. The Company's ability to successfully launch, commercialize and generate revenue from NEXLETOL, NEXLIZET, NILEMDO® (bempedoic acid) tablet and NUSTENDI® (bempedoic acid and ezetimibe) tablet has been and may continue to be adversely affected by the economic impact of the ongoing COVID-19 pandemic. While management believes current cash resources and future cash received from the Company's net product sales and collaboration agreements with Daiichi Sankyo Europe GmbH ("DSE"), Otsuka Pharmaceutical Co., Ltd. ("Otsuka"), and Daiichi Sankyo Co. Ltd ("DS"), entered into on January 2, 2019, April 17, 2020 and April 26, 2021, respectively, will fund operations for the foreseeable future, management may continue to fund operations and advance the development of the Company's products and product candidates through a combination of collaborations with third parties, strategic alliances, licensing arrangements, permitted debt financings, permitted royalty-based financings, and permitted private and public equity offerings or through other sources. The continuing impact of COVID-19 and the uncertainty around the global pandemic could further impact the commercialization of NEXLETOL and NEXLIZET and the Company’s research and development programs and could result in lower cash flows or higher costs that could further impact the Company’s overall operations and cash needs in the future.</w:t>
      </w:r>
    </w:p>
    <w:p>
      <w:pPr>
        <w:spacing w:after="0" w:line="1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adequate funds are not available, the Company may not be able to continue the development of its current products or future product candidates, or to commercialize its current or future product candidates, if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condensed interim financial statements are unaudited and were prepared by the Company in accordance with generally accepted accounting principles in the United States of America (“GAAP”). In the opinion of management, the Company has made all adjustments, which include only normal recurring adjustments necessary for a fair presentation of the Company’s financial position and results of operations for the interim periods presented. Certain prior year amounts have been reclassified to conform with current year presentation. Certain information and disclosures normally included in the annual financial statements prepared in accordance with GAAP, but that is not required for interim reporting purposes, have been condensed or omitted. These condensed interim financial statements should be read in conjunction with the audited financial statements as of and for the year ended December 31, 2021, and the notes thereto, which are included in the Company’s Annual Report on Form 10-K for the year ended December 31, 2021. The results of operations for the interim periods are not necessarily indicative of the results to be expected for a full year, any other interim periods or any future year or period.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766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generally accepted accounting principles in the United States requires management to make estimates and assumptions that affect the reported amounts of assets, liabilities, net revenues, expenses and related disclosures.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The Company invests its excess cash in bank deposits, money market accounts, and short-term investments. The Company considers all highly liquid investments with an original maturity of 90 days or less at the time of purchase to be cash equivalents. Cash equivalents are reported at fair value.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Restricted cash consists of legally restricted amounts held by financial institutions pursuant to contractual arrangements. Pursuant to the Amendment and Waiver (as defined below), the Company deposited $50.0 million in a deposit account that is subject to a block account control agreement. Eiger III SA LLC (“Oberland”), an affiliate of Oberland Capital LLC, will have sole control over the funds deposited in the account and such funds may be withdrawn only with the consent of Oberland. Refer to Note 8 "Liability Related to the Revenue Interest Purchase Agreement" for further information on the Amendment and Waiver.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Investments are considered to be available-for-sale and are carried at fair value. Unrealized gains and losses, if any, are reported in accumulated other comprehensive income (loss). The cost of investments classified as available-for-sale are adjusted for the amortization of premiums and accretion of discounts to maturity and recorded in other income, net. Realized gains and losses, if any, are determined using the specific identification method and recorded in other income, net. Investments with original maturities beyond 90 days at the date of purchase and which mature at, or less than twelve months from, the balance sheet date are classified as current. Investments with a maturity beyond twelve months from the balance sheet date are classified as long-term.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a limited number of distribution agreements with distributors and specialty pharmacies. The Company's net product sales are with these customers. As of September 30, 2022, thirteen customers accounted for all of the Company's net trade receivables and as of December 31, 2021, nine customers accounted for all the Company's net trade receivables.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accordance with ASC 606, Revenue from Contracts with Customers, the Company recognizes revenue when a customer obtains control of promised goods or services, in an amount that reflects the consideration the Company expects to receive in exchange for the goods or services provided. To determine revenue recognition for arrangements within the scope of ASC 606, the Company performs the following five steps: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derives revenue through two primary sources: collaboration revenue and product sales. Collaboration revenue consists of the collaboration payments to the Company for collaboration arrangements outside of the United States for the development, manufacturing and commercialization, including royalties, of the Company's product candidates by the Company's partners and product sales consists of sales of NEXLETOL and NEXLIZET.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Revenue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entered into agreements related to its activities to develop, manufacture, and commercialize its product candidates. The Company earns collaboration revenue in connection with a collaboration agreement to develop and/or commercialize product candidates where the Company deems the collaborator to be the customer. 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collaboration agreements may require the Company to deliver various rights, services, and/or goods across the entire life cycle of a product or product candidate. In an agreement involving multiple goods or services promised to be transferred to a customer, the Company must assess, at the inception of the contract, whether each promise represents a separate performance obligation (i.e., is "distinct"), or whether such promises should be combined as a single performance obligation.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terms of the agreement typically include consideration to be provided to the Company in the form of non-refundable up-front payments, development milestones, sales milestones, and royalties on sales of products within a respective territory. The Company recognizes regulatory and approval milestones consideration when it is probable that a future reversal is unlikely to occur. For sales-based milestones and royalties based on sales of product in a territory, the Company applies the sales-based royalty exception in ASC 606-10-55-65 to all of these milestones and royalties.</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At the inception of the contract, the transaction price reflects the amount of consideration the Company expects to be entitled to in exchange for transferring promised goods or services to its customer. In the arrangement where the Company satisfies performance obligation(s) during the regulatory phase over time, the Company recognizes collaboration revenue typically using an input method on the basis of regulatory costs incurred relative to the total expected cost which determines the extent of progress toward completion. The Company reviews the estimate of the transaction price and the total expected cost each period and makes revisions to such estimates as necessary. Under contracted supply agreements with collaborators, the Company, through its third party contract manufacturing partners, may manufacture and supply quantities of active pharmaceutical ingredient (“API”) or bulk tablets reasonably required by collaboration partners for the development or sale of licensed products in their respective territory. The Company recognizes revenue when the collaboration partner has obtained control of the API or bulk tablets. The Company records the costs related to the supply agreement in cost of goods sold on the condensed statements of operations and comprehensive (loss) income.</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the Company's collaboration agreements, product sales and cost of sales may be recorded by the Company's collaborators as they are deemed to be the principal in the transaction. The Company receives royalties from the commercialization of such products, and records its share of the variable consideration, representing a percentage of net product sales, as collaboration revenue in the period in which such underlying sales occur and costs are incurred by the collaborator.</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tab/>
        <w:t>Product Sales, Net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February 21, 2020, the Company announced that the FDA approved NEXLETOL as an adjunct to diet and maximally tolerated statin therapy for the treatment of adults with HeFH or established ASCVD who require additional lowering of LDL-C. On February 26, 2020, the Company announced that the FDA approved NEXLIZET as an adjunct to diet and maximally tolerated statin therapy for the treatment of adults with HeFH or established ASCVD who require additional lowering of LDL-C. On March 30, 2020, NEXLETOL was commercially available in the U.S. through prescription and on June 4, 2020, NEXLIZET was commercially available in the U.S. through prescription. Net product sales totaled $14.0 million and $40.9 million for the three and nine months ended September 30, 2022, respectively, and $10.9 million and $27.9 million for the three and nine months ended September 30, 2021, respectively.</w:t>
      </w:r>
    </w:p>
    <w:p>
      <w:pPr>
        <w:spacing w:after="0" w:line="18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Company sells NEXLETOL and NEXLIZET to wholesalers in the U.S. and, in accordance with ASC 606, recognizes revenue at the point in time when the customer is deemed to have obtained control of the product. The customer is deemed to have obtained control of the product at the time of physical receipt of the product at the customers’ distribution facilities, or free on board (“FOB”) destination, the terms of which are designated in the contract.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sales are recorded at the net selling price, which includes estimates of variable consideration for which reserves are established for (a) rebates and chargebacks, (b) co-pay assistance programs, (c) distribution fees, (d) product returns, and (e) other discounts. Where appropriate, these estimates take into consideration a range of possible outcomes which are probability-weighted for relevant factors such as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may be constrained and is included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net sales price only to the extent that it is probable that a significant reversal in the amount of the cumulative revenue recognized will not occur in a future period. Given the early stage of the Company’s commercial operations it has provided constraint of its variable consideration due to its potential consumption trends.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80" w:lineRule="exact"/>
        <w:rPr>
          <w:sz w:val="20"/>
          <w:szCs w:val="20"/>
          <w:color w:val="auto"/>
        </w:rPr>
      </w:pP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Liabilities for co-pay assistance, expected product returns, rebates, and distributor fees are classified as “Other accrued liabilities” in the condensed balance sheets. Discounts, such as prompt pay discounts, and chargebacks are recorded as a reduction to trade accounts receivable in the condensed balance sheets.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Forms of Variable Consideration</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Rebates and Chargebacks: </w:t>
      </w:r>
      <w:r>
        <w:rPr>
          <w:rFonts w:ascii="Times New Roman" w:cs="Times New Roman" w:eastAsia="Times New Roman" w:hAnsi="Times New Roman"/>
          <w:sz w:val="18"/>
          <w:szCs w:val="18"/>
          <w:color w:val="auto"/>
        </w:rPr>
        <w:t>The Company estimates reductions to product sales for Public Health Service Institutions, such as Medicaid, Medicare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Veterans' Administration ("VA") programs, as well as certain other qualifying federal and state government programs, and other group purchasing organizations. The Company estimates these reductions based upon the Company's contracts with government agencies and other organizations, statutorily defined discounts and estimated payor mix. These organizations purchase directly from the Company's wholesalers at a discount and the wholesalers charge the Company back the difference between the wholesaler price and the discounted price. The Company's liability for Medicaid rebates consists of estimates for claims that a state will make for a current quarter. The Company's reserve for this discounted pricing is based on expected sales to qualified healthcare providers and the chargebacks that customers have already claimed.</w:t>
      </w:r>
    </w:p>
    <w:p>
      <w:pPr>
        <w:spacing w:after="0" w:line="183"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 assistance: </w:t>
      </w:r>
      <w:r>
        <w:rPr>
          <w:rFonts w:ascii="Times New Roman" w:cs="Times New Roman" w:eastAsia="Times New Roman" w:hAnsi="Times New Roman"/>
          <w:sz w:val="18"/>
          <w:szCs w:val="18"/>
          <w:color w:val="auto"/>
        </w:rPr>
        <w:t>Eligible patients who have commercial insurance may receive assistance from the Company to reduce the patient's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pocket costs. The Company will buy down the difference between the amount of the eligible patient's co-pay when the drug is purchased at the pharmacy at a determined price. Liabilities for co-pay assistance are calculated by actual program participation from third-party administrators.</w:t>
      </w:r>
    </w:p>
    <w:p>
      <w:pPr>
        <w:spacing w:after="0" w:line="173" w:lineRule="exact"/>
        <w:rPr>
          <w:sz w:val="20"/>
          <w:szCs w:val="20"/>
          <w:color w:val="auto"/>
        </w:rPr>
      </w:pPr>
    </w:p>
    <w:p>
      <w:pPr>
        <w:ind w:right="8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 Fees: </w:t>
      </w:r>
      <w:r>
        <w:rPr>
          <w:rFonts w:ascii="Times New Roman" w:cs="Times New Roman" w:eastAsia="Times New Roman" w:hAnsi="Times New Roman"/>
          <w:sz w:val="18"/>
          <w:szCs w:val="18"/>
          <w:color w:val="auto"/>
        </w:rPr>
        <w:t>The Company has written contracts with its customers that include terms for distribution fees and costs for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The Company estimates and records distribution fees due to its customers based on gross sales.</w:t>
      </w:r>
    </w:p>
    <w:p>
      <w:pPr>
        <w:spacing w:after="0" w:line="15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 generally offers a right of return based on the product’s expiration date and certain spoilage and damaged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instances. The Company estimates the amount of product sales that may be returned and records the estimate as a reduction of product sales in the period the related product sales is recognized. The Company’s estimates for expected returns are based primarily on an ongoing analysis of sales information and visibility into the inventory remaining in the distribution channel.</w:t>
      </w:r>
    </w:p>
    <w:p>
      <w:pPr>
        <w:spacing w:after="0" w:line="180"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Discounts: </w:t>
      </w:r>
      <w:r>
        <w:rPr>
          <w:rFonts w:ascii="Times New Roman" w:cs="Times New Roman" w:eastAsia="Times New Roman" w:hAnsi="Times New Roman"/>
          <w:sz w:val="18"/>
          <w:szCs w:val="18"/>
          <w:color w:val="auto"/>
        </w:rPr>
        <w:t>The Company provides product discounts, such as prompt pay discounts, to its customers. The Company estimates cash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terms in negotiated contracts and the Company’s expectations regarding future payment patterns.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recognized on a first-in, first-out ("FIFO") method. The Company uses standard cost to determine the cost basis for inventory. Inventory is capitalized based on when future economic benefit is expected to be realized. The Company began capitalizing inventory upon receiving FDA approval for NEXLETOL and NEXLIZET on February 21, 2020 and February 26, 2020, respectively. Prior to the FDA approval of NEXLETOL and NEXLIZET, expenses associated with the manufacturing of the Company's products were recorded as research and development expense.</w:t>
      </w:r>
    </w:p>
    <w:p>
      <w:pPr>
        <w:spacing w:after="0" w:line="183"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Company analyzes its inventory levels on a periodic basis to determine if any inventory is at risk for expiration prior to sale or has a cost basis that is greater than its estimated future net realizable value. Any adjustments are recognized through cost of goods sold in the period in which they are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Implemented Accounting Pronouncements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significant accounting policies previously disclosed in the Company’s Annual Report on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8400" w:firstLine="8"/>
        <w:spacing w:after="0" w:line="503"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Collaborations with Third Parties DSE Agreement Terms</w:t>
      </w:r>
    </w:p>
    <w:p>
      <w:pPr>
        <w:spacing w:after="0" w:line="256" w:lineRule="auto"/>
        <w:rPr>
          <w:sz w:val="20"/>
          <w:szCs w:val="20"/>
          <w:color w:val="auto"/>
        </w:rPr>
      </w:pPr>
      <w:r>
        <w:rPr>
          <w:rFonts w:ascii="Times New Roman" w:cs="Times New Roman" w:eastAsia="Times New Roman" w:hAnsi="Times New Roman"/>
          <w:sz w:val="18"/>
          <w:szCs w:val="18"/>
          <w:color w:val="auto"/>
        </w:rPr>
        <w:t>On January 2, 2019, the Company entered into a license and collaboration agreement with DSE, which was furthered amended on June 18, 2020. Pursuant to the amended agreement, the Company granted DSE exclusive commercialization rights to bempedoic acid and the bempedoic acid / ezetimibe combination tablet in the European Economic Area, Turkey, and Switzerland (“DSE Territory”). DSE will be responsible for commercialization in the DSE Territory. DSE's designated affiliate in Turkey will be solely responsible, at its sole cost and expense, for all regulatory matters relating to such products in Turkey, including obtaining regulatory approval for such products in Turkey. The Company remains responsible for clinical development, regulatory and manufacturing activities for the licensed products globally, including in the DSE Territory outside of Turkey.</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agreement, the Company received upfront cash of $150.0 million in 2019 and a $150.0 million cash milestone payment in 2020 following the completion of the NUSTENDI Marketing Authorisation Applications ("MAA"). The Company is responsible for supplying DSE with certain manufacturing supply of the API or bulk tablets. The Company is also eligible to receive a substantial additional regulatory milestone payment upon the grant of the marketing authorisation in the European Union for the CV risk reduction label, depending on the range of relative risk reduction in the CLEAR Outcomes study. In addition, the Company is eligible to receive additional sales milestone payments related to total net sales achievements for DSE in the DSE Territory. Finally, the Company will receive tiered fifteen percent (15%) to twenty-five percent (25%) royalties on net DSE Territory sales.</w:t>
      </w:r>
    </w:p>
    <w:p>
      <w:pPr>
        <w:spacing w:after="0" w:line="187"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The agreement calls for both parties to participate in a Joint Collaboration Committee (the “DSE JCC”). The DSE JCC is comprised of executive management from each company and the Company will lead in all aspects related to development and DSE will lead in all aspects related to commercialization in the DSE Territory.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the three and nine months ended September 30, 2022, the Company recognized collaboration revenue of approximately $4.4 million and $14.7 million, respectively, and in the three and nine months ended September 30, 2021, the Company recognized collaboration revenue of $3.3 million and $6.9 million, respectively, related to royalty revenue from DSE from the sales of NILEMDO and NUSTENDI as well as the sales of bulk tablets to DSE pursuant to the supply agreement that was executed with DSE.</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All remaining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sales-based milestones will be recognized when the subsequent sales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Otsuka Agreement Terms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April 17, 2020, the Company entered into a license and collaboration agreement (the "Otsuka Agreement") with Otsuka. Pursuant to the Otsuka Agreement, the Company granted Otsuka exclusive development and commercialization rights to NEXLETOL and NEXLIZET in Japan. Otsuka will be responsible for all development, regulatory, and commercialization activities in Japan. In addition, Otsuka will fund all clinical development costs associated with the program in Japan.</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agreement, the consideration consists of a $60.0 million upfront cash payment and the Company will be eligible to receive additional payments of up to $450.0 million if certain regulatory and commercial milestones are achieved by Otsuka. The potential future milestone payments include up to $20.0 million upon first JNDA submissions in the Otsuka Territory, up to $70.0 million upon the first NHI Price Listing for NEXLETOL in the Otsuka Territory, and up to $50.0 million upon the achievement of the primary major adverse cardiovascular events (“MACE”) in the CLEAR Outcomes study and the CV risk reduction rate on the U.S. label, depending on the range of relative risk reduction in the CLEAR Outcomes study. In addition, the Company is eligible to receive additional sales milestone payments up to $310.0 million related to total net sales achievements for Otsuka in Japan. Finally, the Company will receive tiered fifteen percent (15%) to thirty percent (30%) royalties on net sales in Japan.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considered the guidance under ASC 606 and concluded that the agreement was in the scope of ASC 606. In the three and nine months ended September 30, 2022, the Company recognized $0.4 million of collaboration revenue related to sales of bulk tablets to Otsuka pursuant to the supply agreement that was executed with Otsuka. The Company did not have any collaboration revenue from the Otsuka Agreement during the three and nine months ended September 30, 2021.</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yet recognized any revenue for milestone payments as the related regulatory and commercial milestones have not yet been achieved.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DS Agreement Terms</w:t>
      </w:r>
    </w:p>
    <w:p>
      <w:pPr>
        <w:spacing w:after="0" w:line="216"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In April 2021, the Company entered into a license and collaboration agreement with Daiichi Sankyo Co. Ltd (the "DS Agreement"). Pursuant to the DS Agreement, the Company granted DS exclusive rights to develop and commercialize bempedoic acid and the bempedoic acid / ezetimibe combination tablet in South Korea, Taiwan, Hong Kong, Thailand, Vietnam, Brazil, Macao, Cambodia and Myanmar (collectively the "DS Territory"). The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In addition, DS will fund all development costs associated with the program in the DS Territory. Pursuant to the agreement, the consideration consists of a $30.0 million upfront cash payment that is non-refundable, non-reimbursable and non-creditable. The Company also will be eligible to receive additional one-time payments of up to $175.0 million if certain commercial milestones are achieved by DS. Also, the Company will receive tiered royalties of five percent (5%) to twenty percent (20%) of net sales in the DS Territory.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considered the guidance under ASC 606 and concluded that the agreement was in the scope of ASC 606. The Company concluded that the upfront payment of $30.0 million should be included in the transaction price and related to the following performance obligations under the agreement: 1) the license to the Company’s intellectual property and 2) the obligation to provide ongoing development activities. The Company used the adjusted market assessment approach in determining the standalone selling price of the Company’s intellectual property and the expected cost plus margin approach in determining the standalone selling price of the Company’s obligation to provide ongoing development activities. Accordingly, for the three and nine months ended September 30, 2021, the Company recognized $0.2 million and $28.3 million of collaboration revenue related to the $30.0 million upfront payment, consisting of $28.0 million related to the performance obligations for the license to the Company’s intellectual property and $0.3 million related to ongoing regulatory and development activities conducted during the period ended September 30, 2021. During the year ended December 31, 2021, the Company recognized $28.5 million of collaboration revenue related to the $30.0 million upfront payment. The $28.5 million relates to the performance obligations for the license to the Company’s intellectual property and a portion of ongoing regulatory and development activities conducted during the year ended December 31, 2021, in the amounts of $28.0 million and $0.5 million, respectively. For the three and nine months ended September 30, 2022, the Company recognized $0.2 million and $0.6 million, respectively, of collaboration revenue related to the ongoing regulatory and development activities. The remaining $0.9 million of the upfront payment was deferred as of September 30, 2022 due to an on-going performance obligation related to the developmental activities in South Korea and Taiwan. This deferred revenue will be recognized ratably over the period leading up to the completion of these developmental activities.</w:t>
      </w:r>
    </w:p>
    <w:p>
      <w:pPr>
        <w:spacing w:after="0" w:line="1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31"/>
        </w:trPr>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31,850</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23"/>
        </w:trPr>
        <w:tc>
          <w:tcPr>
            <w:tcW w:w="78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34,394</w:t>
            </w:r>
          </w:p>
        </w:tc>
      </w:tr>
      <w:tr>
        <w:trPr>
          <w:trHeight w:val="21"/>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1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 xml:space="preserve">On January 12, 2016, a purported stockholder of the Company filed a putative class action lawsuit in the United States District Court for the Eastern District of Michigan, against the Company and Tim Mayleben, captioned </w:t>
      </w:r>
      <w:r>
        <w:rPr>
          <w:rFonts w:ascii="Times New Roman" w:cs="Times New Roman" w:eastAsia="Times New Roman" w:hAnsi="Times New Roman"/>
          <w:sz w:val="18"/>
          <w:szCs w:val="18"/>
          <w:i w:val="1"/>
          <w:iCs w:val="1"/>
          <w:color w:val="auto"/>
        </w:rPr>
        <w:t>Kevin L. Dougherty v. Esperion Therapeutics, Inc., et al.</w:t>
      </w:r>
      <w:r>
        <w:rPr>
          <w:rFonts w:ascii="Times New Roman" w:cs="Times New Roman" w:eastAsia="Times New Roman" w:hAnsi="Times New Roman"/>
          <w:sz w:val="18"/>
          <w:szCs w:val="18"/>
          <w:color w:val="auto"/>
        </w:rPr>
        <w:t xml:space="preserve"> (No. 16-cv-10089). The lawsuit alleges that the Company and Mr. Mayleben violated Sections 10(b) and 20(a) of the Securities Exchange Act of 1934 and SEC Rule 10b-5 by allegedly failing to disclose in an August 17, 2015, public statement that the FDA would require a cardiovascular outcomes trial before approving the Company’s lead product candidate. The lawsuit seeks, among other things, compensatory damages in connection with an allegedly inflated stock price between August 18, 2015, and September 28, 2015, as well as attorneys’ fees and costs. On March 12, 2021, the parties agreed to a settlement in principle of the securities class action, and on April 26, 2021, the parties entered into a stipulation of settlement to resolve all legal claims, in which defendants expressly deny that they have committed any act or omission giving rise to any liability under Section 10(b) of the Securities Exchange Act of 1934. Under the terms of the stipulation of settlement, which the court approved on August 24, 2021, the Company and certain of the Company's insurance carriers caused a payment of $18.25 million to be made to the plaintiff class. As a result of this settlement agreement, the Company recorded a loss on settlement of $13.25 million during the three months ended March 31, 2021 in selling, general, and administrative expenses on the statements of operations and comprehensive loss, which represents the litigation settlement of $18.25 million offset by $5.0 million in insurance claim proceeds from our insurance carriers.</w:t>
      </w:r>
    </w:p>
    <w:p>
      <w:pPr>
        <w:spacing w:after="0" w:line="23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contractual obligations and commitments and contingencies outside the ordinary course of business from those previously disclosed in the Company’s Annual Report on Form 10-K for the fiscal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cash equivalents, restricted cash, and short-term investments (in thousands):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180" w:type="dxa"/>
            <w:vAlign w:val="bottom"/>
          </w:tcPr>
          <w:p>
            <w:pPr>
              <w:jc w:val="center"/>
              <w:ind w:right="198"/>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1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 and restricted cash:</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center"/>
              <w:ind w:left="776"/>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776"/>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notes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856"/>
              <w:spacing w:after="0"/>
              <w:rPr>
                <w:sz w:val="20"/>
                <w:szCs w:val="20"/>
                <w:color w:val="auto"/>
              </w:rPr>
            </w:pPr>
            <w:r>
              <w:rPr>
                <w:rFonts w:ascii="Times New Roman" w:cs="Times New Roman" w:eastAsia="Times New Roman" w:hAnsi="Times New Roman"/>
                <w:sz w:val="18"/>
                <w:szCs w:val="18"/>
                <w:color w:val="auto"/>
                <w:w w:val="99"/>
              </w:rPr>
              <w:t>(93)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29,942</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179,285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center"/>
              <w:ind w:left="856"/>
              <w:spacing w:after="0"/>
              <w:rPr>
                <w:sz w:val="20"/>
                <w:szCs w:val="20"/>
                <w:color w:val="auto"/>
              </w:rPr>
            </w:pPr>
            <w:r>
              <w:rPr>
                <w:rFonts w:ascii="Times New Roman" w:cs="Times New Roman" w:eastAsia="Times New Roman" w:hAnsi="Times New Roman"/>
                <w:sz w:val="18"/>
                <w:szCs w:val="18"/>
                <w:color w:val="auto"/>
                <w:w w:val="99"/>
              </w:rPr>
              <w:t>(93)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179,192</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200" w:type="dxa"/>
            <w:vAlign w:val="bottom"/>
          </w:tcPr>
          <w:p>
            <w:pPr>
              <w:jc w:val="center"/>
              <w:ind w:right="198"/>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2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center"/>
              <w:ind w:left="776"/>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776"/>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36"/>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239,606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center"/>
              <w:ind w:left="836"/>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239,575</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2022, other income, net in the statements of operations includes interest income on investments of $0.8 million and $1.5 million, respectively. During the three and nine months ended September 30, 2021, other income, net in the statements of operations includes interest income on investments of less than $0.1 million and less than $0.1 million, respectively. During the three and nine months ended September 30, 2022, other income, net in the statements of operations includes amortization of premiums and discounts on investments of $0.2 million and $0.6 million, respectively. There was no amortization of premiums and discounts on investments for the three and nine months ended September 30, 2021.</w:t>
      </w:r>
    </w:p>
    <w:p>
      <w:pPr>
        <w:spacing w:after="0" w:line="183"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There were no unrealized gains or losses on investments reclassified from accumulated other comprehensive income (loss) to other income in the statements of operations during the three and nine months ended September 30, 2022 and 2021.</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30, 2022 and 2021, there were no allowances for credit losses and all unrealized gains (losses) for available-for-sale securities were recognized in accumulated other comprehensive income (loss). As of September 30, 2022, the Company had $0.2 million of accrued interest receivables.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follows accounting guidance that emphasizes that fair value is a market-based measurement, not an entity-specific measurement. Fair value is defined as “the price that would be received to sell an asset or paid to transfer a liability in an orderly transaction between market participants at the measurement date.” Fair value measurements are defined on a three level hierarchy: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 inputs:</w:t>
            </w: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Quoted prices for identical assets or liabilities in active markets;</w:t>
            </w:r>
          </w:p>
        </w:tc>
      </w:tr>
      <w:tr>
        <w:trPr>
          <w:trHeight w:val="346"/>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 inputs:</w:t>
            </w: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Observable inputs other than Level 1 prices, such as quoted market prices for similar assets or liabilities or other inputs that are</w:t>
            </w:r>
          </w:p>
        </w:tc>
      </w:tr>
      <w:tr>
        <w:trPr>
          <w:trHeight w:val="234"/>
        </w:trPr>
        <w:tc>
          <w:tcPr>
            <w:tcW w:w="1560" w:type="dxa"/>
            <w:vAlign w:val="bottom"/>
          </w:tcPr>
          <w:p>
            <w:pPr>
              <w:spacing w:after="0"/>
              <w:rPr>
                <w:sz w:val="20"/>
                <w:szCs w:val="20"/>
                <w:color w:val="auto"/>
              </w:rPr>
            </w:pP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observable or can be corroborated by market data; and</w:t>
            </w:r>
          </w:p>
        </w:tc>
      </w:tr>
      <w:tr>
        <w:trPr>
          <w:trHeight w:val="346"/>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3 inputs:</w:t>
            </w: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Unobservable inputs that are supported by little or no market activity and require the reporting entity to develop assumptions</w:t>
            </w:r>
          </w:p>
        </w:tc>
      </w:tr>
      <w:tr>
        <w:trPr>
          <w:trHeight w:val="234"/>
        </w:trPr>
        <w:tc>
          <w:tcPr>
            <w:tcW w:w="1560" w:type="dxa"/>
            <w:vAlign w:val="bottom"/>
          </w:tcPr>
          <w:p>
            <w:pPr>
              <w:spacing w:after="0"/>
              <w:rPr>
                <w:sz w:val="20"/>
                <w:szCs w:val="20"/>
                <w:color w:val="auto"/>
              </w:rPr>
            </w:pP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that market participants would use when pricing the asset or liability.</w:t>
            </w:r>
          </w:p>
        </w:tc>
      </w:tr>
      <w:tr>
        <w:trPr>
          <w:trHeight w:val="864"/>
        </w:trPr>
        <w:tc>
          <w:tcPr>
            <w:tcW w:w="1560" w:type="dxa"/>
            <w:vAlign w:val="bottom"/>
          </w:tcPr>
          <w:p>
            <w:pPr>
              <w:spacing w:after="0"/>
              <w:rPr>
                <w:sz w:val="24"/>
                <w:szCs w:val="24"/>
                <w:color w:val="auto"/>
              </w:rPr>
            </w:pPr>
          </w:p>
        </w:tc>
        <w:tc>
          <w:tcPr>
            <w:tcW w:w="968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15</w:t>
            </w:r>
          </w:p>
        </w:tc>
      </w:tr>
      <w:tr>
        <w:trPr>
          <w:trHeight w:val="115"/>
        </w:trPr>
        <w:tc>
          <w:tcPr>
            <w:tcW w:w="1560" w:type="dxa"/>
            <w:vAlign w:val="bottom"/>
            <w:tcBorders>
              <w:bottom w:val="single" w:sz="8" w:color="9A9A9A"/>
            </w:tcBorders>
          </w:tcPr>
          <w:p>
            <w:pPr>
              <w:spacing w:after="0"/>
              <w:rPr>
                <w:sz w:val="10"/>
                <w:szCs w:val="10"/>
                <w:color w:val="auto"/>
              </w:rPr>
            </w:pPr>
          </w:p>
        </w:tc>
        <w:tc>
          <w:tcPr>
            <w:tcW w:w="9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that have been measured at fair value on a recurring basis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notes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notes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239,575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239,575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three and nine months ended September 30, 2022 and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Liability Related to the Revenue Interest Purchase Agreement</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June 26, 2019, the Company entered into a Revenue Interest Purchase Agreement ("RIPA") with Oberland, as agent for purchasers party thereto (the “Purchasers”), and the Purchasers named therein, to obtain financing in respect to the commercialization and further development of bempedoic acid and the bempedoic acid / ezetimibe combination tablet and other working capital needs. Pursuant to the RIPA, the Company received $125.0 million at closing, less certain issuance costs. The Company was entitled to receive up to approximately $75.0 million in subsequent installments subject to the terms and conditions set forth in the RIPA: (i) $25.0 million upon certain regulatory approval of its product candidates and (ii) $50.0 million, at the Company’s option, upon reaching $100.0 million trailing worldwide six-month net sales any time prior to December 31, 2021 (the “Third Payment”). In March 2020, the Company received $25.0 million from Oberland upon receiving regulatory approval of NEXLETOL.</w:t>
      </w:r>
    </w:p>
    <w:p>
      <w:pPr>
        <w:spacing w:after="0" w:line="17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As consideration for such payments, the Purchasers will have a right to receive certain revenue interests (the “Revenue Interests”) from the Company based upon net sales of the Company’s certain products, once approved, which will be tiered payments initially ranging from 2.5% to 7.5% of the Company’s net sales in the covered territory (the “Covered Territory”); provided that (a) if annual net sales equal or exceed $350.0 million by December 31, 2021 (the “Sales Threshold”), the initially tiered revenue interest rate will be decreased to a single rate of 2.5% of the Company’s net sales in the Covered Territory, beginning on January 1, 2022, and (b) if annual net sales equal or exceed the Sales Threshold and if the Purchasers receive 100% of their invested capital by December 31, 2024, the revenue interest rate will be decreased to a single rate of 0.4% of the Company’s net sales in the Covered Territory beginning on January 1, 2025. If the Third Payment is drawn down by the Company, the applicable royalty rates will increase by one-third. The Covered Territory is the United States, but is subject to expand to include the world-wide net sales if the Company’s annual U.S. net sales are less than $350.0 million for the year ended December 31, 2021. The U.S. net sales milestone thresholds are not to be taken as financial guidance. The Purchasers’ rights to receive the Revenue Interests shall terminate on the date on which the Purchasers have received Revenue Interests payments of 195% of the then aggregate purchase price (the “Cumulative Purchaser Payments”) paid to the Company, unless the RIPA is terminated earlier.</w:t>
      </w:r>
    </w:p>
    <w:p>
      <w:pPr>
        <w:spacing w:after="0" w:line="23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RIPA,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 If the Put Option is exercised prior to the first anniversary of the closing date by the Purchasers (except pursuant to a change of control), the required repurchase price will be 120% of the Cumulative Purchaser Payments (minus all payments Company has made to the Purchasers in connection with the Revenue Interests). In all other cases, if the Put Option or the Call Option are exercised, the required repurchase price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will be 175% of the Cumulative Purchaser Payments (minus all payments Company has made to the Purchasers in connection with the Revenue Interests), if such option is exercised prior to the third anniversary of the closing date, and 195% of the Cumulative Purchaser Payments (minus all payments Company has made to the Purchasers in connection with the Revenue Interests), if such option is exercised thereafter.</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the RIPA contains various representations and warranties, information rights, non-financial covenants, indemnification obligations and other provisions that are customary for a transaction of this nature.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RIPA Amendments</w:t>
      </w:r>
    </w:p>
    <w:p>
      <w:pPr>
        <w:spacing w:after="0" w:line="24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April 26, 2021, the Company entered into Amendment No. 2 (the “RIPA Amendment”) to the RIPA with Oberland, as agent for the purchaser parties thereto. Pursuant to the RIPA Amendment, Oberland waived the original trailing six-month world-wide net sales condition to the third installment payment under the RIPA and released the final $50 million payment payable to the Company under the terms of the RIPA. The Company and Oberland also agreed to amend additional terms of the RIPA such that the purchasers will have a right to receive certain revenue interests (the “Revenue Interests”) from the Company based on net sales of the Company’s certain products, once approved, which will be tiered payments ranging from 3.33% to 10% (the “Third Payment Applicable Percentage”) of the Company’s net sales in the covered territory (the “Covered Territory”); provided that (a) prior to December 31, 2024, with respect to each country defined in the Daiichi Territory, if the percentage of net sales that Company receives from Daiichi (the “Receivables Percentage”) is less than the Third Payment Applicable Percentage, then the Revenue Interest for such country payable to the purchasers will be equal to the Receivables Percentages, (b) if annual net sales equal or exceed $350 million and if the Purchasers receive 100% of their invested capital ("Cumulative Purchaser Payments") by December 31, 2024, the revenue interest rate will be decreased to a single rate of 3.33% of the Company’s net sales in the Covered Territory for all subsequent calendar quarters and (c) if the Purchasers receive Revenue Interest payments less than 100% of Cumulative Purchaser Payments by December 31, 2024, the Third Payment Applicable Percentage will be increased to a single rate of the Company’s net sales that would have provided 100% of Cumulative Purchaser Payments had such rate applied from the initial funding by the Purchasers. The Covered Territory was originally the United States, but has been expanded to worldwide for all calendar years beginning on or after January 1, 2022.</w:t>
      </w:r>
    </w:p>
    <w:p>
      <w:pPr>
        <w:spacing w:after="0" w:line="215"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Under the RIPA Amendment,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 If the Put Option or the Call Option are exercised, the required repurchase price will be 200% of the Cumulative Purchaser Payments (minus all payments Company has made to the Purchasers in connection with the Revenue Interests), if such option is exercised prior to the third anniversary of the closing date, and 225% of the Cumulative Purchaser Payments (minus all payments Company has made to the Purchasers in connection with the Revenue Interests), if such option is exercised thereafter.</w:t>
      </w:r>
    </w:p>
    <w:p>
      <w:pPr>
        <w:spacing w:after="0" w:line="188" w:lineRule="exact"/>
        <w:rPr>
          <w:sz w:val="20"/>
          <w:szCs w:val="20"/>
          <w:color w:val="auto"/>
        </w:rPr>
      </w:pPr>
    </w:p>
    <w:p>
      <w:pPr>
        <w:ind w:right="20"/>
        <w:spacing w:after="0" w:line="223" w:lineRule="exact"/>
        <w:rPr>
          <w:sz w:val="20"/>
          <w:szCs w:val="20"/>
          <w:color w:val="auto"/>
        </w:rPr>
      </w:pPr>
      <w:r>
        <w:rPr>
          <w:rFonts w:ascii="Times New Roman" w:cs="Times New Roman" w:eastAsia="Times New Roman" w:hAnsi="Times New Roman"/>
          <w:sz w:val="18"/>
          <w:szCs w:val="18"/>
          <w:color w:val="auto"/>
        </w:rPr>
        <w:t>In accordance with the guidance in ASC 470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50, “Debt—Modifications and Extinguishments,” the RIPA Amendment was accounted for as a debt modification. The amendment resulted in a $0.1 million loss on modification of debt, consisting of third-party fees associated with the transaction, which is included in selling, general, and administrative expenses in the statements of operations for the nine months ended September 30, 2021.</w:t>
      </w:r>
    </w:p>
    <w:p>
      <w:pPr>
        <w:spacing w:after="0" w:line="2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May 16, 2021, the Company entered into an Amendment to the Security Agreement and Waiver ("Amendment and Waiver") with the same parties to the Security Agreement, by and among the Company, Eiger Partners II LP (the "Purchaser") and Eiger III SA LLC (the "Purchaser Agent"), dated as of June 26, 2019 (the "Security Agreement"). Pursuant to the Amendment and Waiver, if (i) the net revenue from sales of NEXLETOL and NEXLIZET and certain other products in the United States (as reported in the Company’s financial statements as “product sales, net” in accordance with GAAP and excluding, for the avoidance of doubt, upfront or milestone payments and other collaboration revenue) (the “Specified Net Revenue”) for the calendar quarter ended September 30, 2021 does not exceed $15.0 million, or (ii) the Specified Net Revenue for any calendar quarter ending after September 30, 2021 does not exceed $15.0 million, then the Company shall deposit $50.0 million in a deposit account that is subject to a block account control agreement in favor of the Purchase Agent, no later than the earlier of (x) the date the Specified Net Revenue for such calendar quarter has been determined and (y) 45 days after the last day of such calendar quarter. Since the Specified Net Revenue for the calendar quarter ended September 30, 2021 did not exceed $15.0 million, the Company deposited $50.0 million in a deposit account that is subject to a block account control agreement, which is classified as restricted cash on the condensed balance sheets. The Purchaser Agent shall have sole dominion and control over all funds deposited in the deposited account and such funds may be withdrawn therefrom only with the consent of the Purchaser Agent. Upon the occurrence and during the continuance of a Put Option Event, the Purchaser Agent shall have the right to apply amounts held in the deposit account in payment of certain secured obligations in the manner provided for in the Security Agreement. The Amendment and Wavier does not substitute, replace or release the Pledgors from any other obligations under the RIPA or Security Agreement.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In connection with the arrangement, as of September 30, 2022, the Company has recorded a liability, referred to as the “Revenue interest liability” in the condensed balance sheets, of $284.7 million, net of $0.4 million of capitalized issuance costs in connection with the RIPA, which will be amortized to interest expense over the estimated term of the RIPA.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of forecasted net sales. The Company evaluates the interest rate quarterly based on its current net sales forecasts utilizing the prospective method.</w:t>
      </w:r>
    </w:p>
    <w:p>
      <w:pPr>
        <w:spacing w:after="0" w:line="22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significant increase or decrease in net sales will materially impact the revenue interest liability, interest expense and the time period for repayment. The Company recorded approximately $11.1 million and $33.3 million in interest expense related to this arrangement for the three and nine months ended September 30, 2022, respectively, and approximately $10.4 million and $23.3 million in interest expense related to this arrangement for the three and nine months ended September 30, 2021, respectively.</w:t>
      </w:r>
    </w:p>
    <w:p>
      <w:pPr>
        <w:spacing w:after="0" w:line="18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The repayment of the RIPA to Oberland does not have a fixed repayment schedule, rather it will be completely repaid and extinguished when the Company has repaid 200% of the aggregate purchase price if repaid prior to the third anniversary of the closing date, and 225% of the Cumulative Purchaser Payments thereafter, unless the RIPA is terminated earlier. Since there is not a fixed repayment schedule, the Company does not project its future repayments by year. Each period, the Company estimates the future expected sales of its products in the covered territory and determines the effective annual imputed interest rate, which updates and changes the timing of the Company’s payments. Under the terms of the agreement, every $100 million of net sales generated, less than or equal to $250 million in an annual aggregate year, would result in a repayment obligation of approximately $10.0 million or 10.0% at the stated repayment rate in the first year. Annual net sales for a calendar year exceeding $250 million would result in a repayment obligation of approximately $3.3 million or 3.3% for every $100 million of sales above the threshold. If the Company would have equaled or exceeded $350 million of sales in the U.S. in 2021, then the repayment amount would have dropped to $3.3 million for every $100 million of net sales starting in 2022. As U.S. net sales were less than $350 million for the year ended December 31, 2021, the Covered Territory was expanded to include worldwide sales beginning in 2022. The Company’s repayments of the RIPA are directly tied to the growth of its net sales, and as the Company’s net sales grow, the Company expects the related repayments of the RIPA to grow as well. The Company currently expects to repay $19.6 million in the next twelve months.</w:t>
      </w:r>
    </w:p>
    <w:p>
      <w:pPr>
        <w:spacing w:after="0" w:line="17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effective annual imputed interest rate is 15.8% as of September 30, 2022. The Company incurred $0.6 million of issuance costs in connection with the RIPA, which will be amortized to interest expense over the estimated term of the RIPA. Payments made to Oberland as a result of the Company’s net sales will reduce the revenue interest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revenue interest liability activity during the nine months ended September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(in thousands)</w:t>
            </w:r>
          </w:p>
        </w:tc>
      </w:tr>
      <w:tr>
        <w:trPr>
          <w:trHeight w:val="23"/>
        </w:trPr>
        <w:tc>
          <w:tcPr>
            <w:tcW w:w="9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interest liability at December 31, 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257,039</w:t>
            </w:r>
          </w:p>
        </w:tc>
      </w:tr>
      <w:tr>
        <w:trPr>
          <w:trHeight w:val="230"/>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33,323</w:t>
            </w:r>
          </w:p>
        </w:tc>
      </w:tr>
      <w:tr>
        <w:trPr>
          <w:trHeight w:val="229"/>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Interests payments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interest liability at September 30, 2022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284,684</w:t>
            </w:r>
          </w:p>
        </w:tc>
      </w:tr>
      <w:tr>
        <w:trPr>
          <w:trHeight w:val="21"/>
        </w:trPr>
        <w:tc>
          <w:tcPr>
            <w:tcW w:w="9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Notes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November 2020, the Company issued $280.0 million aggregate principal amount of 4.0% senior subordinated convertible notes due November 2025. The net proceeds the Company received from the offering was approximately $271.1 million, after deducting the initial purchasers’ discounts and commissions and offering expenses payable by the Company (the "Convertible Notes"). The Company used approximately $46.0 million of the net proceeds from the offering of the notes to pay the cost of the Capped Call (as defined below) and $55.0 million of the net proceeds from the offering of the initial notes to finance the Prepaid Forward (as defined below). The Convertible Notes are the Company's senior unsecured obligations and mature on November 15, 2025 (the “Maturity Date”), unless earlier repurchased or converted into shares of common stock under certain circumstances described below. The Convertible Notes are convertible into shares of the Company’s common stock, can be repurchased for cash, or a combination thereof, at the Company’s election, at an initial conversion rate of 30.2151 shares of common stock per $1,000 principal amount of the Convertible Notes, which is equivalent to an initial conversion price of approximately $33.096 per share of common stock, subject to adjustment. The Company will pay interest on the Convertible Notes semi-annually in arrears on May 15 and November 15 of each year.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Convertible Notes are general unsecured obligations of the Company that are subordinated in right of payment to indebtedness, obligations and other liabilities under the Company’s RIPA, the revenue interests issued pursuant to such agreement, and any refinancing of the foregoing.</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Holders may convert their Convertible Notes at their option at any time prior to the close of business on the business day immediately preceding August 15, 2025 in the following circumstances: (1) during any calendar quarter commencing after the calendar quarter ended on March 31, 2021 (and only during such calendar quarter), if the last reported sale price per share of the Company’s common stock, par value $0.001 per share (“common stock”), is greater than or equal to 130% of the conversion price for each of at least 20 trading days, whether or not consecutive, during the 30 consecutive trading days ending on, and including, the last trading day of the immediately preceding calendar quarter; (2) during the five business days after any five consecutive trading day period (such five consecutive trading day period, the “measurement period”) in which the trading price per $1,000 principal amount of notes for each trading day of the measurement period was less than 98% of the product of the last reported sale price per share of the Company’s common stock and the conversion rate for the notes on each such trading day; (3) if the Company calls such notes for redemption, any such notes that have been called for redemption may be converted at any time prior to the close of business on the second scheduled trading day immediately preceding the redemption date, but only with respect to the notes called for redemption; and (4) upon the occurrence of specified corporate events, as provided in the Indenture. On or after August 15, 2025, to the close of business on the second scheduled trading day immediately before the maturity date, holders may convert all or any portion of their notes at the applicable conversion rate at any time at the option of the holder regardless of the foregoing conditions.</w:t>
      </w:r>
    </w:p>
    <w:p>
      <w:pPr>
        <w:spacing w:after="0" w:line="19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following certain corporate events or following issuance of a notice of redemption, the Company will, in certain circumstances, increase the conversion rate for a holder who elects to convert its notes in connection with such a corporate event or to convert its notes called (or deemed called) for redemption during the related redemption period, as the case may be.</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Convertible Notes will be redeemable, in whole or in part, at the Company’s option at any time, and from time to time, on or after November 20, 2023 and before the 41st scheduled trading day immediately before the maturity date, at a cash redemption price equal to 100% of the principal amount of the notes to be redeemed, plus accrued and unpaid interest, if any, but only if the last reported sale price per share of the Company’s common stock has been at least 130% of the conversion price then in effect for at least 20 trading days (whether or not consecutive), including the trading day immediately preceding the date the Company sends the related redemption notice, during any 30 consecutive trading day period ending on, and including, the trading day immediately preceding the date on which the Company sends such redemption notice. No sinking fund is provided for the notes. If the Company redeems less than all the outstanding notes, at least $125.0 million aggregate principal amount of notes must be outstanding and not subject to redemption as of the relevant redemption notice date.</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holders may require the Company to repurchase their notes for cash all or any portion of their notes at a fundamental change repurchase price equal to 100% of the principal amount of the notes to be repurchased, plus accrued and unpaid interest, to, but excluding, the fundamental change repurchase date. The Indenture includes customary terms and covenants, including certain events of default.</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incurred approximately $8.9 million of issuance costs related to the issuance of the Convertible Notes, of which, prior to the adoption of Accounting Standards Update ("ASU") 2020-06 on January 1, 2021, $5.8 million and $3.1 million were allocated and recorded to long-term debt and additional paid-in capital, respectively. The $5.8 million of issuance costs recorded as long-term debt on the condensed balance sheet was to be amortized over the five-year contractual term of the Convertible Notes using the effective interest method.</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the adoption of ASU 2020-06 on January 1, 2021, the $271.1 million of proceeds received from the issuance of the Convertible Notes were allocated between long-term debt (the “liability component”) of $177.6 million and additional paid-in capital (the “equity component”) of $93.5 million.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Convertible Notes and was included in additional paid-in capital in the condensed balance sheet and was not remeasured as long as it did not to meet the conditions for equity classification. The liability component was to be accreted up to the face value of the Convertible Notes of $280.0 million, which resulted in additional non-cash interest expense being recognized through the Maturity Date.</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With the adoption of ASU 2020-06 as of January 1, 2021, the Company reports the convertible debt liability at the aggregate principal amount less unamortized issuance costs. This resulted in the reclassification of the $93.5 million of the Company’s convertible notes recognized at December 31, 2020 from additional paid in capital to the convertible debt liability.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portion of interest expense previously recognized for the accretion of the convertible debt liability and the true-up of the amortization of the issuance costs of $1.5 million was recorded as an adjustment to accumulated deficit.</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22, 2021, the Company entered into a privately negotiated exchange agreement (the “Exchange Agreement”) with two co-managed holders (the “Holders”) of its Convertible Notes. Under the terms of the Exchange Agreement the Holders agreed to exchange (the “Exchange”) with the Company $15.0 million aggregate principal amount of the Convertible Notes held in the aggregate by them (and accrued interest thereon) for shares of the Company’s common stock. Pursuant to the Exchange Agreement, the number of shares of common stock to be issued by the Company to the Holders upon consummation of the Exchange was determined based upon the volume-weighted-average-price per share of common stock, subject to a floor of $5.62 per share, during the five trading-day averaging period, commencing on the trading day immediately following the date of the Exchange Agreement. The Exchange closed on November 3, 2021, with 1,094,848 shares of the Company's common stock being exchanged.</w:t>
      </w:r>
    </w:p>
    <w:p>
      <w:pPr>
        <w:spacing w:after="0" w:line="175"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8"/>
          <w:szCs w:val="18"/>
          <w:color w:val="auto"/>
        </w:rPr>
        <w:t>As of September 30, 2022, the principal amount of convertible notes was $265.0 million, and the unamortized debt discount and issuance costs were $5.5 million, for a net carrying amount of $259.5 million.</w:t>
      </w:r>
    </w:p>
    <w:p>
      <w:pPr>
        <w:spacing w:after="0" w:line="203"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The Company recorded $3.1 million and $9.2 million of interest expense during the three and nine months ended September 30, 2022, respectively, and $3.2 million and $9.6 million of interest expense during the three and nine months ended September 30, 2021, respectively, relating to the cash interest on the convertible notes due semi-annually and amortization of the debt issuance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no Convertible Notes were convertible pursuant to their terms. The estimated fair value of the Convertible Notes was</w:t>
      </w:r>
    </w:p>
    <w:p>
      <w:pPr>
        <w:spacing w:after="0" w:line="16"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8"/>
          <w:szCs w:val="18"/>
          <w:color w:val="auto"/>
        </w:rPr>
        <w:t>$148.9 million as of September 30, 2022 and $140.3 million as of December 31, 2021. The estimated fair value of the Convertible Notes was determined through consideration of quoted market prices. As of September 30, 2022, the if-converted value of the Convertible Notes did not exceed the principal value of those notes.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of the Convertible Notes, the Company entered into privately-negotiated capped call transactions with one of the initial purchasers of the convertible notes or its affiliate and certain other financial institutions. The Company used approximately $46.0 million of the net proceeds from the offering of the Convertible Notes to pay the cost of the capped call transactions. The capped call transactions are expected generally to reduce potential dilution to the Company’s common stock upon any conversion of the Convertible Notes and/or offset any cash payments the Company is required to make in excess of the principal amount of converted notes, as the case may be, in the event that the market value per share of the Company’s common stock, as measured under the terms of the capped call transactions at the time of exercise, is greater than the strike price of the capped call transactions (which initially corresponds to the initial conversion price of the Convertible Notes, and is subject to certain adjustments), with such reduction and/or offset subject to a cap initially equal to approximately $55.16 (which represents a premium of approximately 100% over the last reported sale price of the Company’s common stock on November 11, 2020), subject to certain adjustments. The capped call transactions are separate transactions, entered into by the Company and are not part of the terms of the Convertible Notes.</w:t>
      </w:r>
    </w:p>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Given that the transactions meet certain accounting criteria, the convertible note capped call transactions are recorded in stockholders’ equity, and they are not accounted for as derivatives and are not remeasured each reporting period. As of September 30, 2022 and December 31, 2021, the Company had not purchased any shares under the convertible note capped call transactions.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Forward</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of the Convertible Notes, the Company entered into a prepaid forward stock repurchase transaction (“Prepaid Forward”) with a financial institution (“Forward Counterparty”). Pursuant to the Prepaid Forward, the Company used approximately $55.0 million of the net proceeds from the offering of the Convertible Notes to fund the Prepaid Forward. The aggregate number of shares of the Company’s common stock underlying the Prepaid Forward was approximately 1,994,198. The expiration date for the Prepaid Forward is November 15, 2025, although it may be settled earlier in whole or in part. Upon settlement of the Prepaid Forward, at expiration or upon any early settlement, the Forward Counterparty will deliver to the Company the number of shares of common stock underlying the Prepaid Forward or the portion thereof being settled early. The shares purchased under the Prepaid Forward are treated as treasury stock and not outstanding for purposes of the calculation of basic and diluted earnings per share, but will remain outstanding for corporate law purposes, including for purposes of any future stockholders’ votes, until the Forward Counterparty delivers the shares underlying the Prepaid Forward to the Company. As of September 30, 2022, 71,174 shares had been delivered to the Company. The Company’s Prepaid Forward hedge transaction exposes the Company to credit risk to the extent that its counterparty may be unable to meet the terms of the transaction. The Company mitigates this risk by limiting its counterparty to a major financial institution.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consist of the following (in thousands):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convertible notes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30,410</w:t>
            </w:r>
          </w:p>
        </w:tc>
      </w:tr>
      <w:tr>
        <w:trPr>
          <w:trHeight w:val="21"/>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Stock Option and Incentive Plan</w:t>
      </w:r>
    </w:p>
    <w:p>
      <w:pPr>
        <w:spacing w:after="0" w:line="214"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In May 2022, the Company's stockholders approved the 2022 Stock Option and Incentive Plan (the "2022 Plan"). The number of shares of common stock available for awards under the 2022 Plan was set to 4,400,000, with any shares underlying awards that are forfeited, canceled, held back upon exercise of an option or settlement of an award to cover the exercise price or tax withholding, reacquired by the Company prior to vesting, satisfied without the issuance or shares, or otherwise terminated (other than by exercise) under the 2022 Plan may be added back to the shares of common stock available for issuance under the 2022 Plan. The 2022 Plan provides for the award of stock options (both incentive and non-qualified options), stock appreciation rights, restricted stock, restricted stock units, unrestricted stock, cash-based awards, and dividend equivalent rights. Following the approval of the 2022 Plan, no further awards will be issued under the Company’s 2013 Stock Option and Incentive Plan (the “2013 Plan”).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April 2020, the board of directors approved the Esperion Therapeutics, Inc. 2020 Employee Stock Purchase Plan (the "ESPP") which was approved by the Company's shareholders on May 28, 2020. The ESPP allows eligible employees to authorize payroll deductions of up to 10% of their base salary or wages up to $25,000 annually to be applied toward the purchase of shares of the Company's common stock on the last trading day of the offering period. Participating employees will purchase shares of the Company's common stock at a discount of up to 15% on the lesser of the closing price of the Company's common stock on the NASDAQ Global Select Market (i) on the first trading day of the offering period or (ii) the last day of any offering period. Offering periods under the ESPP will generally be in six months increments, commencing on September 1 and March 1 of each calendar year with the administrator having the right to establish different offering periods. In the three and nine months ended September 30, 2022, the Company recognized approximately $0.1 million and $0.3 million of stock compensation expense related to the ESPP, respectively. In the three and nine months ended September 30, 2021, the Company recognized approximately $0.2 million and $0.6 million of stock compensation expense related to the ESPP, respectively. As of September 30, 2022, there have been 339,422 shares issued and 485,578 shares reserved for future issuance under the ESPP.</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options to purchase common stock for the nine months ended September 30,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7"/>
                <w:szCs w:val="17"/>
                <w:color w:val="auto"/>
              </w:rPr>
            </w:pPr>
          </w:p>
        </w:tc>
        <w:tc>
          <w:tcPr>
            <w:tcW w:w="13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3,214,537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1,255,600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(685,182)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3,784,955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September 30, 2022</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3,784,955</w:t>
            </w:r>
          </w:p>
        </w:tc>
        <w:tc>
          <w:tcPr>
            <w:tcW w:w="24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2,421,198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Stock-based compensation related to stock options was $1.4 million and $4.3 million for the three and nine months ended September 30, 2022, respectively, including $0.2 million and $0.4 million that were capitalized into inventory, and $2.8 million and $12.7 million for the three and nine months ended September 30, 2021, respectively, including $0.8 million and $1.3 million that were capitalized into inventory. As of September 30, 2022, there was $8.9 million of unrecognized stock-based compensation expense related to unvested options, which will be recognized over a weighted-average period of 2.5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Stock Options ("PBSOs")</w:t>
      </w:r>
    </w:p>
    <w:p>
      <w:pPr>
        <w:spacing w:after="0" w:line="2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2021, the Company granted PBSOs from the 2013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Company expects the performance criteria to be met.</w:t>
      </w:r>
    </w:p>
    <w:p>
      <w:pPr>
        <w:spacing w:after="0" w:line="18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2022, the Company granted PBSOs from the 2022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Company expects the performance criteria to be met.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PBSOs for the nine months ended September 30,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September 30, 2022</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499,200</w:t>
            </w:r>
          </w:p>
        </w:tc>
        <w:tc>
          <w:tcPr>
            <w:tcW w:w="24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180" w:type="dxa"/>
            <w:vAlign w:val="bottom"/>
          </w:tcPr>
          <w:p>
            <w:pPr>
              <w:spacing w:after="0"/>
              <w:rPr>
                <w:sz w:val="24"/>
                <w:szCs w:val="24"/>
                <w:color w:val="auto"/>
              </w:rPr>
            </w:pPr>
          </w:p>
        </w:tc>
        <w:tc>
          <w:tcPr>
            <w:tcW w:w="142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Stock-based compensation related to PBSOs was $0.3 million and $0.5 million for the three and nine months ended September 30, 2022, respectively. As of September 30, 2022, there was approximately $1.8 million of unrecognized stock-based compensation expense related to unvested PBSOs, which will be recognized over a weighted-average period of approximately 1.6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(or RSUs)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RSUs for the nine months ended September 30, 2022: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8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77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Fair Value Per</w:t>
            </w:r>
          </w:p>
        </w:tc>
        <w:tc>
          <w:tcPr>
            <w:tcW w:w="0" w:type="dxa"/>
            <w:vAlign w:val="bottom"/>
          </w:tcPr>
          <w:p>
            <w:pPr>
              <w:spacing w:after="0"/>
              <w:rPr>
                <w:sz w:val="1"/>
                <w:szCs w:val="1"/>
                <w:color w:val="auto"/>
              </w:rPr>
            </w:pPr>
          </w:p>
        </w:tc>
      </w:tr>
      <w:tr>
        <w:trPr>
          <w:trHeight w:val="198"/>
        </w:trPr>
        <w:tc>
          <w:tcPr>
            <w:tcW w:w="77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December 31, 2021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1,644,009</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(340,220)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(347,893)</w:t>
            </w:r>
          </w:p>
        </w:tc>
        <w:tc>
          <w:tcPr>
            <w:tcW w:w="3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September 30,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1,654,600</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Stock-based compensation related to RSUs was approximately $1.5 million and $5.1 million for the three and nine months ended September 30, 2022, respectively, including $0.2 million and $0.5 million that was capitalized into inventory, and approximately $2.4 million and $6.4 million for the three and nine months ended September 30, 2021, respectively, including $0.4 million and $0.6 million that was capitalized into inventory. As of September 30, 2022, there was $14.7 million of unrecognized stock-based compensation expense related to unvested RSUs, which will be recognized over a weighted-average period of 2.8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 ("PBRSUs")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2021, the Company granted PBRSUs from the 2013 Plan that vest upon various performance-based milestones as set forth in the individual grant agreements, such as achievement of predetermined milestones based on the Company's U.S. net product sales or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PBRSUs based on the expected performance period to achieve the performance milestone. The fair value of the PBRSUs is based on the quoted market price of the Company's common stock on the date of grant. The Company expects the performance criteria to be met.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PBRSUs for the nine months ended September 30,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360" w:type="dxa"/>
            <w:vAlign w:val="bottom"/>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Weighted-average fair</w:t>
            </w:r>
          </w:p>
        </w:tc>
      </w:tr>
      <w:tr>
        <w:trPr>
          <w:trHeight w:val="196"/>
        </w:trPr>
        <w:tc>
          <w:tcPr>
            <w:tcW w:w="72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PBRSUs</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3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639,950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30"/>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(178,700)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2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and unvested September 30, 2022</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461,250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0"/>
        </w:trPr>
        <w:tc>
          <w:tcPr>
            <w:tcW w:w="7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Stock-based compensation related to the PBRSUs was approximately $0.2 million and $1.3 million for the three and nine months ended September 30, 2022, respectively, including less than $0.1 million and $0.1 million that was capitalized into inventory. Stock-based compensation related to PBRSUs was approximately $0.1 million for the three and nine months ended September 30, 2021. As of September 30, 2022, there was approximately $1.9 million of unrecognized stock-based compensation expense related to unvested PBRSUs, which will be recognized over a weighted-average period of approximately 1.7 years.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was no provision for income taxes for the three and nine months ended September 30, 2022 and 2021, because the Company has incurred annual operating losses since inception. At September 30, 2022, the Company continues to conclude that it is not more likely than not that the Company will realize the benefit of its deferred tax assets due to its history of losses. Accordingly, a full valuation allowance has been applied against the net deferred tax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Deficit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Offering</w:t>
      </w:r>
    </w:p>
    <w:p>
      <w:pPr>
        <w:spacing w:after="0" w:line="24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On August 3, 2021, the Company filed an automatically effective registration statement on Form S-3ASR (the “Registration Statement”) with the SEC which registered the offering, issuance and sale of an unspecified amount of common stock, preferred stock, debt securities, warrants and/or units of any combination thereof. The Company simultaneously entered into an open market sale agreement with Jefferies LLC, as sales agent, to provide for the issuance and sale by the Company of up to $250 million of common stock from time to time in “at-the-market” offerings under the Registration Statement and related prospectus filed with the Registration Statement (the “ATM Program”). During the three and nine months ended September 30, 2021, the Company issued 363,061 shares of common stock resulting in net proceeds of approximately $4.2 million after deducting $0.5 million of underwriting discounts and commissions and other expenses, pursuant to the ATM Program.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15, 2022, the Company filed a new registration statement on Form S-3 to replace its prior automatically effective registration statement on Form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S-3ASR filed on August 3, 2021, which registers the offering, issuance and sale of up to $239 million of common stock from time to time in “at-the-</w:t>
      </w:r>
    </w:p>
    <w:p>
      <w:pPr>
        <w:spacing w:after="0" w:line="234" w:lineRule="auto"/>
        <w:rPr>
          <w:sz w:val="20"/>
          <w:szCs w:val="20"/>
          <w:color w:val="auto"/>
        </w:rPr>
      </w:pPr>
      <w:r>
        <w:rPr>
          <w:rFonts w:ascii="Times New Roman" w:cs="Times New Roman" w:eastAsia="Times New Roman" w:hAnsi="Times New Roman"/>
          <w:sz w:val="18"/>
          <w:szCs w:val="18"/>
          <w:color w:val="auto"/>
        </w:rPr>
        <w:t>market” offerings under the Registration Statement and related prospectus filed with the Registration Statement (the “ATM Program”). The Company may</w:t>
      </w:r>
    </w:p>
    <w:p>
      <w:pPr>
        <w:spacing w:after="0" w:line="235" w:lineRule="auto"/>
        <w:rPr>
          <w:sz w:val="20"/>
          <w:szCs w:val="20"/>
          <w:color w:val="auto"/>
        </w:rPr>
      </w:pPr>
      <w:r>
        <w:rPr>
          <w:rFonts w:ascii="Times New Roman" w:cs="Times New Roman" w:eastAsia="Times New Roman" w:hAnsi="Times New Roman"/>
          <w:sz w:val="18"/>
          <w:szCs w:val="18"/>
          <w:color w:val="auto"/>
        </w:rPr>
        <w:t>continue to use an ATM Program to address potential short-term or long-term funding requirements that may arise. Such program will continue to be</w:t>
      </w:r>
    </w:p>
    <w:p>
      <w:pPr>
        <w:spacing w:after="0" w:line="235" w:lineRule="auto"/>
        <w:rPr>
          <w:sz w:val="20"/>
          <w:szCs w:val="20"/>
          <w:color w:val="auto"/>
        </w:rPr>
      </w:pPr>
      <w:r>
        <w:rPr>
          <w:rFonts w:ascii="Times New Roman" w:cs="Times New Roman" w:eastAsia="Times New Roman" w:hAnsi="Times New Roman"/>
          <w:sz w:val="18"/>
          <w:szCs w:val="18"/>
          <w:color w:val="auto"/>
        </w:rPr>
        <w:t>subject to the volatility of the price of the Company's common stock and general market conditions. During the three and nine month periods ended</w:t>
      </w:r>
    </w:p>
    <w:p>
      <w:pPr>
        <w:spacing w:after="0" w:line="235" w:lineRule="auto"/>
        <w:rPr>
          <w:sz w:val="20"/>
          <w:szCs w:val="20"/>
          <w:color w:val="auto"/>
        </w:rPr>
      </w:pPr>
      <w:r>
        <w:rPr>
          <w:rFonts w:ascii="Times New Roman" w:cs="Times New Roman" w:eastAsia="Times New Roman" w:hAnsi="Times New Roman"/>
          <w:sz w:val="18"/>
          <w:szCs w:val="18"/>
          <w:color w:val="auto"/>
        </w:rPr>
        <w:t>September 30, 2022, the Company issued 6,958,525 and 10,311,525 shares of common stock, respectively, resulting in net proceeds of approximately</w:t>
      </w:r>
    </w:p>
    <w:p>
      <w:pPr>
        <w:spacing w:after="0" w:line="235" w:lineRule="auto"/>
        <w:rPr>
          <w:sz w:val="20"/>
          <w:szCs w:val="20"/>
          <w:color w:val="auto"/>
        </w:rPr>
      </w:pPr>
      <w:r>
        <w:rPr>
          <w:rFonts w:ascii="Times New Roman" w:cs="Times New Roman" w:eastAsia="Times New Roman" w:hAnsi="Times New Roman"/>
          <w:sz w:val="18"/>
          <w:szCs w:val="18"/>
          <w:color w:val="auto"/>
        </w:rPr>
        <w:t>$48.6 million and $68.8 million after deducting $1.6 million and $2.4 million of underwriting discounts and commissions and other expenses, respectively,</w:t>
      </w:r>
    </w:p>
    <w:p>
      <w:pPr>
        <w:spacing w:after="0"/>
        <w:rPr>
          <w:sz w:val="20"/>
          <w:szCs w:val="20"/>
          <w:color w:val="auto"/>
        </w:rPr>
      </w:pPr>
      <w:r>
        <w:rPr>
          <w:rFonts w:ascii="Times New Roman" w:cs="Times New Roman" w:eastAsia="Times New Roman" w:hAnsi="Times New Roman"/>
          <w:sz w:val="18"/>
          <w:szCs w:val="18"/>
          <w:color w:val="auto"/>
        </w:rPr>
        <w:t>pursuant to the ATM Program.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5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In connection with an underwriting agreement with H.C. Wainwright &amp; Co., LLC (the "Offering"), entered into on December 2, 2021, the Company issued warrants to purchase 36,964,286 shares of common stock at an exercise price of $9.00. The warrants will terminate on December 7, 2023. The warrants were recorded at fair value of $61.9 million to additional-paid-in-capital in accordance with ASC 815-10 based upon the allocation of the proceeds between the common shares issued with the Offering and the warrants. The Company estimated the fair value of the warrants using a Black-Scholes option-pricing model, which is based, in part, upon subjective assumptions including but not limited to stock price volatility, the expected life of the warrant, the risk-free interest rate and the fair value of the common stock underlying the warrant. The Company estimates the volatility based on its historical volatility that is in line with the expected remaining life of the warrants. The risk-free interest rate is based on the U.S. Treasury daily rate for a maturity similar to the expected remaining life of the warrants. The expected remaining life of the warrants is assumed to be equivalent to its remaining contractual term.</w:t>
      </w:r>
    </w:p>
    <w:p>
      <w:pPr>
        <w:spacing w:after="0" w:line="19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warrants outstanding that were exercisable for a total of 36,964,286 shares of common stock at a weighted-average exercise price of $9.00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Common Share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without consideration for common stock equivalents. Diluted net loss per share is computed by dividing net loss by the weighted-average number of common stock equivalents outstanding for the period, including shares that potentially could be dilutive if they were exercised or vested during the period, determined using the treasury-stock method. For purposes of this calculation, warrants for common stock, stock options, PBSOs, unvested RSUs and PBRSUs, shares issuable under the ESPP and shares issuable upon conversion of the convertible notes are considered to be common stock equivalents and are only included in the calculation of diluted net loss per share when their effect is dilutive.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shares outstanding at the end of the respective periods presented below were excluded from the calculation of diluted net loss per share due to their anti-dilutive effect: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20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Pr>
          <w:p>
            <w:pPr>
              <w:spacing w:after="0"/>
              <w:rPr>
                <w:sz w:val="16"/>
                <w:szCs w:val="16"/>
                <w:color w:val="auto"/>
              </w:rPr>
            </w:pPr>
          </w:p>
        </w:tc>
      </w:tr>
      <w:tr>
        <w:trPr>
          <w:trHeight w:val="202"/>
        </w:trPr>
        <w:tc>
          <w:tcPr>
            <w:tcW w:w="4740" w:type="dxa"/>
            <w:vAlign w:val="bottom"/>
          </w:tcPr>
          <w:p>
            <w:pPr>
              <w:spacing w:after="0"/>
              <w:rPr>
                <w:sz w:val="17"/>
                <w:szCs w:val="17"/>
                <w:color w:val="auto"/>
              </w:rPr>
            </w:pPr>
          </w:p>
        </w:tc>
        <w:tc>
          <w:tcPr>
            <w:tcW w:w="15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7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under option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3,784,955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3,703,938</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under PBSOs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1,654,600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879,349</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PBRSUs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45,300</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related to the ESPP</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convertible notes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8,007,010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8,460,237</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36,964,286</w:t>
            </w: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51,380,538</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13,098,695</w:t>
            </w:r>
          </w:p>
        </w:tc>
      </w:tr>
      <w:tr>
        <w:trPr>
          <w:trHeight w:val="20"/>
        </w:trPr>
        <w:tc>
          <w:tcPr>
            <w:tcW w:w="4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Statements of Cash Flows and Restricted Cash</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presented on the balance sheets to the same amounts presented on the statements of cash flows on September 30, 2022 and 2021 and December 31, 2021 and 2020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45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304,962</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45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and cash equivalents and restricted cash shown on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209,399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153,672</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258,892</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304,962</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condensed statements of cash flows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financial statements and related notes appearing elsewhere in this Quarterly Report on Form 10-Q and our annual report on Form 10-K for the fiscal year ended December 31, 2021 and other filings that we make with the Securities and Exchange Commission.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“forward-looking statements” within the meaning of Section 27A of the Securities Act and Section 21E of the Securities Exchange Act of 1934, as amended (the Exchange Act). These forward-looking statements are based on our management’s belief and assumptions and on information currently available to management. Although we believe that the expectations reflected in these forward-looking statements are reasonable, these statements relate to future events, including our clinical development and commercialization plans, or our future financial performance and involve known and unknown risks, uncertainties and other factors that may cause our actual results, performance or achievements, including in relation to the clinical development, commercialization plans, approval of expanded indications for bempedoic acid and the bempedoic acid / ezetimibe combination tablet and expectations regarding future transactions to further improve our balance sheet to be materially different from any future results, performance or achievements, including in relation to the clinical development, commercialization plans, or approval of expanded indications for bempedoic acid and the bempedoic acid / ezetimibe combination tablet, the impact of COVID-19, our corporate workforce reduction and targeted program savings on our business, clinical activities and commercial development plans, expressed or implied by these forward-looking statements.</w:t>
      </w:r>
    </w:p>
    <w:p>
      <w:pPr>
        <w:spacing w:after="0" w:line="1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Forward-looking statements are often identified by the use of words such as, but not limited to, “may,” “will,” “should,” “expects,” “intends,” “plans,” “anticipates,” “believes,” “estimates,” “predicts,” “potential,” “continue” or the negative of these terms or other similar terminology. These statements are only predictions. You should not place undue reliance on forward-looking statements because they involve known and unknown risks, uncertainties and other factors, which are, in some cases, beyond our control and that could materially affect results. Factors that may cause actual results to differ materially from current expectations include, among other things, those referred to or discussed in or incorporated by reference into the section titled “Risk Factors” included in Item 1A of Part II of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spacing w:after="0" w:line="185"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The forward-looking statements in this report represent our views as of the date of this quarterly report. Except as required by law, we undertake no obligation to update any forward-looking statements to reflect events or circumstances after the date of such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use the terms “we,” “us,” “our,” or the "Company” in this report to refer to Esperion Therapeutics,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Overview</w:t>
      </w:r>
    </w:p>
    <w:p>
      <w:pPr>
        <w:spacing w:after="0" w:line="21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We are a pharmaceutical company singularly focused on developing and commercializing accessible, oral, once-daily, non-statin medicines for patients struggling with elevated low-density lipoprotein cholesterol, or LDL-C. Through commercial execution and advancement of our CLEAR Outcomes trial as well as our pre-clinical pipeline, we continue to evolve into a differentiated, global cardiometabolic biotech. Our team of lipid experts are dedicated to lowering bad cholesterol through the discovery, development and commercialization of innovative medicines and their combinations with established medicines. Our first two products were approved by the U.S. Food and Drug Administration, or FDA, European Medicines Agency, or EMA and Swiss Agency for Therapeutic Products, or Swissmedic, in 2020. Bempedoic acid and the bempedoic acid / ezetimibe combination tablet are oral, once-daily, non-statin, LDL-C lowering medicines for patients with atherosclerotic cardiovascular disease, or ASCVD, or heterozygous familial hypercholesterolemia, or HeFH.</w:t>
      </w:r>
    </w:p>
    <w:p>
      <w:pPr>
        <w:spacing w:after="0" w:line="20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in January 2008 and commenced our operations in April 2008. Since our inception, we have focused substantially all of our efforts and financial resources on developing bempedoic acid and the bempedoic acid / ezetimibe combination tablet. In February 2020, the FDA approved NEXLETOL and NEXLIZET. NEXLETOL was commercially available in the U.S. on March 30, 2020 and NEXLIZET was commercially available in the U.S. on June 4, 2020. We have funded our operations to date primarily through proceeds from sales of preferred stock, convertible promissory notes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and warrants, public offerings of common stock, the incurrence of indebtedness, through collaborations with third parties and revenue interest purchase agreements, and we have incurred losses in each year since our inception.</w:t>
      </w:r>
    </w:p>
    <w:p>
      <w:pPr>
        <w:spacing w:after="0" w:line="14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We have never been profitable and our net losses were $55.1 million and $178.2 million for the three and nine months ended September 30, 2022, respectively, and $69.4 million and $204.0 million for the three and nine months ended September 30, 2021, respectively. Substantially all of our net losses resulted from costs incurred in connection with research and development programs and selling, general and administrative costs associated with our operations. We expect to incur significant expenses and operating losses for the foreseeable future in connection with our ongoing activities, including, among others:</w:t>
      </w:r>
    </w:p>
    <w:p>
      <w:pPr>
        <w:spacing w:after="0" w:line="225"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NEXLETOL and NEXLIZET in the U.S;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clinical development activities for the CLEAR Outcomes CVOT.</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Accordingly, we may need additional financing to support our continuing operations and further the development and commercialization of our products. We may seek to fund our operations and further development activities through collaborations with third parties, strategic alliances, licensing arrangements, permitted debt financings, permitted royalty-based financings, permitted public or private equity offerings or through other sources. Adequate additional financing may not be available to us on acceptable terms, or at all. Our failure to raise capital as and when needed would have a material adverse effect on our financial condition and our ability to pursue our business strategy or continue operations. We will need to generate significant revenues to achieve profitability, and we may never do so.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Overview</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NEXLETOL is a first-in-class ATP Citrate Lyase, or ACL, inhibitor that lowers LDL-C by reducing cholesterol biosynthesis and up-regulating the LDL receptors. Completed Phase 3 studies conducted in more than 3,000 patients, with over 2,000 patients treated with NEXLETOL, demonstrated an average 18 percent placebo corrected LDL-C lowering when used in patients on moderate or high-intensity statins. NEXLETOL was approved by the FDA in February 2020 as an adjunct to diet and maximally tolerated statin therapy for the treatment of adults with HeFH or established ASCVD who require additional lowering of LDL-C.</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NEXLIZET contains bempedoic acid and ezetimibe and lowers elevated LDL-C through complementary mechanisms of action by inhibiting cholesterol synthesis in the liver and absorption in the intestine. Phase 3 data demonstrated NEXLIZET lowered LDL-C by a mean of 38 percent compared to placebo when added on to maximally tolerated statins. NEXLIZET was approved by the FDA in February 2020 as an adjunct to diet and maximally tolerated statin therapy for the treatment of adults with HeFH or established ASCVD who require additional lowering of LDL-C.</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NILEMDO is a first-in-class ACL inhibitor that lowers LDL-C by reducing cholesterol biosynthesis and up-regulating the LDL receptors. NILEMDO was approved by the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w:t>
      </w:r>
    </w:p>
    <w:p>
      <w:pPr>
        <w:spacing w:after="0" w:line="18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we incurred $60.2 million in expenses related to our CLEAR Outcomes CVOT and other ongoing clinical studies.</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2021, we incurred $47.1 million in expenses related to our CLEAR Outcomes CVOT and other ongoing clinical studies.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Clinical Studies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Cardiovascular Outcomes Trial—CLEAR Outcomes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CLEAR Outcomes is a Phase 3, event driven, randomized, multicenter, double-blind, placebo-controlled clinical study designed to evaluate whether treatment of bempedoic acid reduces the risk of cardiovascular events in patients with statin intolerance who have cardiovascular disease or are at high risk for cardiovascular disease. The primary endpoint of the study is the effect of bempedoic acid on major adverse cardiovascular events (cardiovascular death, non-fatal myocardial infarction, non-fatal stroke, or coronary revascularization; also referred to as "four-component MACE"). CLEAR Outcomes is designed to provide 90 percent power to detect an approximately 15 percent relative risk reduction in the primary endpoint in the bempedoic acid treatment group as compared to the placebo group and is expected to complete with a minimum of 1,620 patients experiencing the primary endpoint.</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study over-enrolled with over 14,000 patients with hypercholesterolemia and high cardiovascular disease risk at over 1,200 sites in 32 countries. Eligible patients at high risk (LDL-C &gt;100 mg/dL in primary prevention) for cardiovascular disease or with cardiovascular disease (LDL-C between 100 mg/dL to 190 mg/dL in secondary prevention) and who are only able to tolerate less than the lowest approved daily starting dose of a statin and considered statin adverse, were randomized to receive bempedoic acid 180 mg once-daily or placebo. The expected average baseline LDL-C level in all patients is between 135 mg/dL and 140 mg/dL.</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CLEAR Outcomes will conclude once the predetermined number of MACE endpoints occur. We initiated CLEAR Outcomes in December 2016 and completed enrollment in August 2019. The expected average treatment duration will be 3.75 years with a minimum treatment duration of approximately 2.25 years. The study is intended to support our submissions for a CV risk reduction indication in the U.S., Europe and other territories.</w:t>
      </w:r>
    </w:p>
    <w:p>
      <w:pPr>
        <w:spacing w:after="0" w:line="16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On August 2, 2022 we announced that the CLEAR Outcomes study of NEXLETOL accumulated the targeted 1,620 primary major adverse cardiovascular events (MACE-4) (cardiovascular death, nonfatal myocardial infarction, nonfatal stroke, or coronary revascularization). On November 1, 2022, we</w:t>
      </w:r>
    </w:p>
    <w:p>
      <w:pPr>
        <w:spacing w:after="0" w:line="1"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18"/>
          <w:szCs w:val="18"/>
          <w:color w:val="auto"/>
        </w:rPr>
        <w:t>announced that the CLEAR Outcomes study achieved Last Patient Last Visit in October and that we are continuing to close out the study. We anticipate reporting top-line results from the study in January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full extent to which the ongoing COVID-19 pandemic, or the future outbreak of any other highly infectious or contagious diseases, may impact our business, including our CVOT and commercialization efforts will depend on continuously changing circumstances, which are highly uncertain and cannot be predicted at this time, such as the duration of such pandemic including future waves of infection, the emergence and prevalence of more contagious variants, such as the recent "Omicron" variant and the BA.2 subvariants of the virus, or the global availability and utilization of effective vaccines, the actions taken to contain the pandemic or mitigate its impact, and the direct and indirect economic effects of the pandemic and containment measures, among others. The ongoing fluidity of this situation precludes any prediction as to the full impact of the COVID-19 pandemic but it has had a material adverse effect on our business, financial condition, and results of operations. The ongoing COVID-19 pandemic may also have the effect of heightening the risks to which we are subject, including potential impacts on the progress and time to completion of our ongoing CVOT, the reliance on third parties in our supply chain for materials and manufacturing and delivery of our drugs and drug candidates, our ability to effectively promote and market our approved products, disruptions in health regulatory agencies' operations globally, the volatility of our common stock, our ability to access capital markets, and our ability to successfully commercialize and generate revenue from our approved drugs.</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continuing to assess the long-term impact of COVID-19 on our business operations in an effort to mitigate interruption to our commercialization of our approved drugs and other business activities and to ensure the safety and well being of our employees, as well as the physicians and patients participating in our CVOT. Because COVID-19 infections have been reported throughout the U.S. and worldwide, and as new strains continue to be identified, certain national, state, and local governmental authorities have issued orders, proclamations, and/or directives aimed at minimizing the spread of COVID-19. Although some of these restrictions were eased or lifted, in response to local surges and new waves of infection, some countries, states, and local governments have reinstituted these restrictions, and additional, more restrictive orders, proclamations, and/or directives may be issued in the future. In response to the COVID-19 pandemic, we have implemented precautionary measures to protect the health and safety of our employees, partners, and patients, including encouraging all employees to work-from-home if able to perform their duties remotely, and requiring adherence to onsite occupancy limits and appropriate safety measures designed to comply with federal, state, and local guidelines.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ability to successfully launch, commercialize, and generate revenue from NEXLETOL, NEXLIZET, NILEMDO and NUSTENDI has been and may continue to be adversely affected by the economic impact of the ongoing COVID-19 pandemic. Physicians’ offices and other medical institutions had limited access for nonpatients, which included our sales personnel. In addition, social distancing or testing requirements and precautionary measures due to COVID-19 have impacted the ability of our sales personnel to interact in-person with customers. As a result, in many circumstances we have needed to limit our interactions with physicians and payors and adapt our launch strategies and tactics to a virtual model, including developing and deploying various technology-enabled platforms for virtual engagement such as remote detailing, digital and non-personal marketing channels, and social media. These circumstances have affected and may continue to adversely affect the ability of our sales professionals to effectively market our approved drugs to physicians and the rates of uptakes for our approved drugs, which may have a negative impact on our sales and our market penetration. In addition, patient visits with physicians have decreased as a result of COVID-19, due to travel restrictions, social distancing requirements, prioritization of healthcare resources to address the pandemic, and/or fear of exposure to the virus, which we believe has adversely affected and could continue to have an adverse impact on new patient starts and overall patient treatment volume. Market disruption and unemployment caused by the COVID-19 pandemic may lead to delays in obtaining insurance coverage and reimbursement of newly approved products.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had to optimize our cost structure in response to the ongoing COVID-19 pandemic and its impact on the conventional healthcare model associated with normal health management practices, such as regular physician office visits, lab tests, and prescription fills. As a result of the impact COVID-19 has had on our business and demand, in October 2021, we announced our plan to align operational and expense structure to better enable future growth for NEXLETOL and NEXLIZET and prioritize our investment in the CLEAR Outcomes trial. This included reducing operational expense across the organization through a corporate workforce reduction of approximately 40% and through targeted program savings. We will focus our commercialization efforts on an optimized blend of focused outreach including a streamlined sales force, directed to targeted cardiologists and primary care physicians, and a suite of digital initiatives designed to increase awareness and utilization of our medicines in appropriate patients. We adjusted our 2021 operating expense guidance and planned 2022 operating expense budget accordingly, including our budgeted production plans. While it is not possible at this time to estimate the entirety of the impact that the ongoing COVID-19 pandemic will have on our business or operations, the continued spread or future waves of COVID-19, measures taken by governments, actions taken to protect employees, and the broad impact of the pandemic on all business activities may materially and adversely affect our preclinical activities, clinical development progress, data and timelines, commercialization efforts including any revenue from sales, supply chain continuity, and general business operations, and our business, prospects, financial condition, and results of operations could be materially harmed as a result.</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To date, we have not experienced any interruption of our supply of drug products needed to support our ongoing clinical study and product sales. However, such interruptions may occur due to supply chain issues related to COVID-19, such as the demand for vaccines and potential for manufacturing facilities and materials to be commandeered under the Defense Production Act of 1950, or equivalent foreign legislation, which may make it more difficult to obtain materials or manufacturing capacity at our third-party manufacturers to the products needed for our clinical trials and commercial product, which could lead to delays in our ongoing trial and/or issues with our commercial supply. We remain focused on maintaining a strong balance sheet, liquidity and financial flexibility and continue to monitor developments as we deal with the disruptions and uncertainties from a business and financial perspective relating to COVID-19. We will continue to work diligently with our partners and stakeholders to continue supporting patient access to our approved medicines, advancing our products under regulatory review as well as in our clinical studies to the extent safe to do so for patients, caregivers and healthcare practitioners, and ensuring the continuity of our manufacturing and supply chain. For additional information related to the potential impact of COVID-19 on our business, please read Part I-Item 1A, “Risk Factors” of our Annual Report on Form 10-K for the fiscal year ended December 31,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Product sales, net is related to our sales of NEXLETOL and NEXLIZET. NEXLETOL was commercially available in the U.S. on March 30, 2020 and NEXLIZET was commercially available in the U.S. on June 4,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Collaboration revenue is related to our collaboration agreements with Daiichi Sankyo Europe GmbH, or DSE, Otsuka Pharmaceutical Co., Ltd., or Otsuka, and Daiichi Sankyo Co. Ltd, or DS. Collaboration revenue in the three and nine months ended September 30, 2022 was primarily related to sales of bulk tablets under supply agreements and royalty revenue received from collaboration partners. Collaboration revenue in the three and nine months ended September 30, 2021 was primarily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related to the initial recognition of the upfront payment from our license and collaboration agreement with DS, sales of bulk tablets under supply agreements, and royalty revenue received from collaboration partners. Under contracted supply agreements with ex-U.S. collaborators, we may manufacture and supply quantities of active pharmaceutical ingredient, or API, or bulk tablets reasonably required by ex-U.S. collaboration partners for the development or sale of licensed products in their respective territory. We recognize revenue when the collaboration partner has obtained control of the API or bulk tablets. We also receive royalties from the commercialization of such products, and record our share of the variable consideration, representing a percentage of net product sales, as collaboration revenue in the period in which such underlying sales occur and costs are incurred by the collaborators.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Cost of goods sold is related to our net product sales of NEXLETOL and NEXLIZET and the cost of goods sold from our supply agreements with collaboration partners. Prior to the FDA approval of NEXLETOL and NEXLIZET in February 2020, expenses associated with the manufacturing of our products were recorded as research and development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in connection with the development of bempedoic acid and the bempedoic acid</w:t>
      </w:r>
    </w:p>
    <w:p>
      <w:pPr>
        <w:spacing w:after="0" w:line="27"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ezetimibe combination tablet, which include:</w:t>
      </w:r>
    </w:p>
    <w:p>
      <w:pPr>
        <w:spacing w:after="0" w:line="206"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consultants, contract research organizations, or CROs, and investigative sites that conduct our preclinical and clinical studies;</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2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developing and manufacturing clinical study materials and commercial product manufacturing supply prior to product approval, including the procurement of ezetimibe in our continued development of our bempedoic acid / ezetimibe combination tablet;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stock-based compensation and travel expenses;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rent and maintenance of facilities, insurance and other supplies;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To date, substantially all of our research and development work has been related to bempedoic acid and the bempedoic acid / ezetimibe combination tablet. Costs for certain development activities, such as clinical studies, are recognized based on an evaluation of the progress to completion of specific tasks using data such as patient enrollment, clinical site activations or information provided to us by our vendors. Our direct research and development expenses consist principally of external costs, such as fees paid to investigators, consultants, central laboratories and CROs in connection with our clinical studies. We do not allocate acquiring and manufacturing clinical study materials, salaries, stock-based compensation, employee benefits or other indirect costs related to our research and development function to specific programs.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will continue to incur research and development expenses in the foreseeable future as they relate to our ongoing CLEAR Outcomes CVOT and any other development programs or additional indications we choose to pursue. We cannot determine with certainty the duration and completion costs associated with the ongoing or future clinical studies of bempedoic acid and the bempedoic acid / ezetimibe combination tablet. The duration, costs and timing associated with the development of bempedoic acid and the bempedoic acid / ezetimibe combination tablet will depend on a variety of factors, including uncertainties associated with the results of our clinical studies and our ability to obtain regulatory approval outside the U.S. and Europe. For example, if a regulatory authority were to require us to conduct clinical studies beyond those that we currently anticipate that will be required for the completion of clinical development or post-commercialization clinical studies of bempedoic acid or the bempedoic acid / ezetimibe combination tablet, we could be required to expend significant additional financial resources and time on the completion of clinical development or post-commercialization clinical studies of bempedoic acid and the bempedoic acid / ezetimibe combination tablet.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selling expenses, facility-related costs, communication expenses and professional fees for legal, patent prosecution, protection and review, consulting and accounting services.</w:t>
      </w:r>
    </w:p>
    <w:p>
      <w:pPr>
        <w:spacing w:after="0" w:line="16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As a result of the corporate workforce reduction in October 2021 and other targeted program savings, we anticipate that our selling, general and administrative expenses will decrease in 2022 compared to 2021. We expect our selling, general and administrative expenses to increase after we report full results from the CLEAR Outcomes trial in connection with potential additional global regulatory submissions for new product indications, expanded commercialization initiatives for NEXLETOL and NEXLIZET and increases in our associated headcount.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is related to our Revenue Interest Purchase Agreement, or RIPA, with Eiger III SA LLC, or Oberland, an affiliate of Oberland Capital and our convertible notes issued in November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Other income, net, primarily relates to the sale of lease vehicles in 2022 associated with the reduction in force, interest income and the accretion or amortization of premiums and discounts earned on our cash, cash equivalents and investment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financial statements, which have been prepared in accordance with generally accepted accounting principles in the United States of America.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contractual milestones and other various factors that are believed to be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significant accounting policies previously disclosed in our Annual Report on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(14,311)</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(55,117)</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Product sales, net for the three months ended September 30, 2022 was $14.0 million compared to $10.9 million for the three months ended September 30, 2021, an increase of $3.1 million. The increase is primarily due to prescription growth of NEXLETOL and NEXLIZET during the third quarter of 2022 compared to the third quarter of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revenue recognized from our collaboration agreements for the three months ended September 30, 2022 was $5.0 million compared to</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$3.5 million for the three months ended September 30, 2021, an increase of $1.5 million. The increase is primarily due to increased sales under the supply agreements and royalty revenue.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Cost of goods sold for the three months ended September 30, 2022 was $6.5 million compared to $5.6 million for the three months ended September 30, 2021, an increase of $0.9 million. The increase is primarily related to increased product sales to our collaboration partners from our supply agreements and increased net product sales of NEXLETOL and NEXLIZET.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2022, were $29.1 million, compared to $25.3 million for the three months ended September 30, 2021, an increase of $3.8 million. The increase in research and development expenses was primarily attributable to an increase in CVOT costs as we accumulated 100% MACE accumulations and continued close-out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September 30, 2022, were $25.0 million, compared to $39.3 million for the three months ended September 30, 2021, a decrease of $14.3 million. The decrease in selling, general and administrative expenses was primarily attributable to decreases in compensation costs related to the reduction in force in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Interest expense for the three months ended September 30, 2022, was $14.2 million, compared to $13.7 million for the three months ended September 30, 2021, an increase of $0.5 million. The increase in interest expense was primarily due to additional interest expense attributable to our RIPA with Oberland.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Other income, net for the three months ended September 30, 2022, was $0.7 million, compared to less than $0.1 million for the three months ended September 30, 2021, an increase of approximately $0.6 million. The increase in other income, net was primarily due to higher interest income on our investments due to higher interest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(61,703)</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(136,988)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34,114</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(178,172)</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25,817</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Product sales, net for the nine months ended September 30, 2022 was $40.9 million compared to $27.9 million for the nine months ended September 30, 2021, an increase of $13.0 million. The increase is primarily due to prescription growth of NEXLETOL and NEXLIZET during the first three quarters of 2022 compared to the first three quarters of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Collaboration revenue recognized from our collaboration agreements for the nine months ended September 30, 2022 was $15.8 million compared to $35.2 million for the nine months ended September 30, 2021, a decrease of $19.4 million. The decrease is primarily due to the initial recognition of the upfront payment from our license and collaboration agreement with DS for the nine months ended September 30, 2021, partially offset by an increase in product sales to collaboration partners under our supply agreements and royalty revenue from our collaboration agreements with DSE and Otsuka for the nine months ended September 30,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Cost of goods sold for the nine months ended September 30, 2022 was $22.8 million compared to $9.1 million for the nine months ended September 30, 2021, an increase of $13.7 million. The increase is primarily related to increased product sales to our collaboration partners from our supply agreements and increased net product sales of NEXLETOL and NEXLIZET.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2022, were $85.9 million, compared to $78.4 million for the nine months ended September 30, 2021, a increase of $7.5 million. The increase in research and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development expenses was primarily attributable to an increase in CVOT costs as we accumulated 100% MACE accumulations and started close-out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September 30, 2022, were $84.9 million, compared to $146.6 million for the nine months ended September 30, 2021, a decrease of $61.7 million. The decrease in selling, general and administrative expenses was primarily attributable to decreases in compensation costs related to the reduction in force in the fourth quarter of 2021 and a $13.3 million one-time charge associated with a legal settlement in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2022, was $42.5 million, compared to $32.9 million for the nine months ended September 30, 2021, an increase of $9.6 million. The increase in interest expense was primarily due to additional interest expense attributable to the third installment payment from our RIPA with Oberland.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Other income, net for the nine months ended September 30, 2022, was $1.3 million, compared to less than $0.1 million for the nine months ended September 30, 2021, an increase of $1.3 million. The increase in other income, net was primarily due to a gain on sale of our lease vehicles due to the reduction in force and higher interest income on our investments due to higher interest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we began to generate revenue from the sales of our products in 2020, we have funded our operations to date primarily through proceeds from sales</w:t>
      </w:r>
    </w:p>
    <w:p>
      <w:pPr>
        <w:spacing w:after="0" w:line="237" w:lineRule="auto"/>
        <w:rPr>
          <w:sz w:val="20"/>
          <w:szCs w:val="20"/>
          <w:color w:val="auto"/>
        </w:rPr>
      </w:pPr>
      <w:r>
        <w:rPr>
          <w:rFonts w:ascii="Times New Roman" w:cs="Times New Roman" w:eastAsia="Times New Roman" w:hAnsi="Times New Roman"/>
          <w:sz w:val="18"/>
          <w:szCs w:val="18"/>
          <w:color w:val="auto"/>
        </w:rPr>
        <w:t>of preferred stock, convertible promissory notes and warrants, public offerings of common stock and warrants, the incurrence of indebtedness, milestone</w:t>
      </w:r>
    </w:p>
    <w:p>
      <w:pPr>
        <w:spacing w:after="0" w:line="219" w:lineRule="auto"/>
        <w:rPr>
          <w:sz w:val="20"/>
          <w:szCs w:val="20"/>
          <w:color w:val="auto"/>
        </w:rPr>
      </w:pPr>
      <w:r>
        <w:rPr>
          <w:rFonts w:ascii="Times New Roman" w:cs="Times New Roman" w:eastAsia="Times New Roman" w:hAnsi="Times New Roman"/>
          <w:sz w:val="18"/>
          <w:szCs w:val="18"/>
          <w:color w:val="auto"/>
        </w:rPr>
        <w:t>payments from collaboration agreements and the revenue interest purchase agreement. Pursuant to the license and collaboration agreements with Daiichi</w:t>
      </w:r>
    </w:p>
    <w:p>
      <w:pPr>
        <w:spacing w:after="0" w:line="219" w:lineRule="auto"/>
        <w:rPr>
          <w:sz w:val="20"/>
          <w:szCs w:val="20"/>
          <w:color w:val="auto"/>
        </w:rPr>
      </w:pPr>
      <w:r>
        <w:rPr>
          <w:rFonts w:ascii="Times New Roman" w:cs="Times New Roman" w:eastAsia="Times New Roman" w:hAnsi="Times New Roman"/>
          <w:sz w:val="18"/>
          <w:szCs w:val="18"/>
          <w:color w:val="auto"/>
        </w:rPr>
        <w:t>Sankyo and Otsuka, we are eligible for substantial additional sales and regulatory milestone payments and royalties. Pursuant to the license and</w:t>
      </w:r>
    </w:p>
    <w:p>
      <w:pPr>
        <w:spacing w:after="0" w:line="219" w:lineRule="auto"/>
        <w:rPr>
          <w:sz w:val="20"/>
          <w:szCs w:val="20"/>
          <w:color w:val="auto"/>
        </w:rPr>
      </w:pPr>
      <w:r>
        <w:rPr>
          <w:rFonts w:ascii="Times New Roman" w:cs="Times New Roman" w:eastAsia="Times New Roman" w:hAnsi="Times New Roman"/>
          <w:sz w:val="18"/>
          <w:szCs w:val="18"/>
          <w:color w:val="auto"/>
        </w:rPr>
        <w:t>collaboration agreements entered into April 2021 with Daiichi Sankyo, we received an upfront cash payment of $30.0 million in May 2021 and are eligible</w:t>
      </w:r>
    </w:p>
    <w:p>
      <w:pPr>
        <w:spacing w:after="0" w:line="235" w:lineRule="auto"/>
        <w:rPr>
          <w:sz w:val="20"/>
          <w:szCs w:val="20"/>
          <w:color w:val="auto"/>
        </w:rPr>
      </w:pPr>
      <w:r>
        <w:rPr>
          <w:rFonts w:ascii="Times New Roman" w:cs="Times New Roman" w:eastAsia="Times New Roman" w:hAnsi="Times New Roman"/>
          <w:sz w:val="18"/>
          <w:szCs w:val="18"/>
          <w:color w:val="auto"/>
        </w:rPr>
        <w:t>for substantial additional sales milestone payments and royalties. Pursuant to the amended RIPA with Oberland, we received an additional $50.0 million in</w:t>
      </w:r>
    </w:p>
    <w:p>
      <w:pPr>
        <w:spacing w:after="0" w:line="219" w:lineRule="auto"/>
        <w:rPr>
          <w:sz w:val="20"/>
          <w:szCs w:val="20"/>
          <w:color w:val="auto"/>
        </w:rPr>
      </w:pPr>
      <w:r>
        <w:rPr>
          <w:rFonts w:ascii="Times New Roman" w:cs="Times New Roman" w:eastAsia="Times New Roman" w:hAnsi="Times New Roman"/>
          <w:sz w:val="18"/>
          <w:szCs w:val="18"/>
          <w:color w:val="auto"/>
        </w:rPr>
        <w:t>May 2021. The amended RIPA increases the revenue interest we will pay Oberland based on the net sales of our products as outlined in Note 8 "Liability</w:t>
      </w:r>
    </w:p>
    <w:p>
      <w:pPr>
        <w:spacing w:after="0" w:line="219" w:lineRule="auto"/>
        <w:rPr>
          <w:sz w:val="20"/>
          <w:szCs w:val="20"/>
          <w:color w:val="auto"/>
        </w:rPr>
      </w:pPr>
      <w:r>
        <w:rPr>
          <w:rFonts w:ascii="Times New Roman" w:cs="Times New Roman" w:eastAsia="Times New Roman" w:hAnsi="Times New Roman"/>
          <w:sz w:val="18"/>
          <w:szCs w:val="18"/>
          <w:color w:val="auto"/>
        </w:rPr>
        <w:t>Related to the Revenue Interest Purchase Agreement" in our condensed financial statements included in this Form 10-Q for the quarter ended</w:t>
      </w:r>
    </w:p>
    <w:p>
      <w:pPr>
        <w:spacing w:after="0" w:line="219" w:lineRule="auto"/>
        <w:rPr>
          <w:sz w:val="20"/>
          <w:szCs w:val="20"/>
          <w:color w:val="auto"/>
        </w:rPr>
      </w:pPr>
      <w:r>
        <w:rPr>
          <w:rFonts w:ascii="Times New Roman" w:cs="Times New Roman" w:eastAsia="Times New Roman" w:hAnsi="Times New Roman"/>
          <w:sz w:val="18"/>
          <w:szCs w:val="18"/>
          <w:color w:val="auto"/>
        </w:rPr>
        <w:t>September 30, 2022. In December 2021, we entered into an underwriting agreement pursuant to which we sold shares of common stock and accompanying</w:t>
      </w:r>
    </w:p>
    <w:p>
      <w:pPr>
        <w:spacing w:after="0" w:line="235" w:lineRule="auto"/>
        <w:rPr>
          <w:sz w:val="20"/>
          <w:szCs w:val="20"/>
          <w:color w:val="auto"/>
        </w:rPr>
      </w:pPr>
      <w:r>
        <w:rPr>
          <w:rFonts w:ascii="Times New Roman" w:cs="Times New Roman" w:eastAsia="Times New Roman" w:hAnsi="Times New Roman"/>
          <w:sz w:val="18"/>
          <w:szCs w:val="18"/>
          <w:color w:val="auto"/>
        </w:rPr>
        <w:t>warrants to purchase shares of our common stock and received net proceeds of $208.7 million. We anticipate that we will incur losses for the foreseeable</w:t>
      </w:r>
    </w:p>
    <w:p>
      <w:pPr>
        <w:spacing w:after="0" w:line="219" w:lineRule="auto"/>
        <w:rPr>
          <w:sz w:val="20"/>
          <w:szCs w:val="20"/>
          <w:color w:val="auto"/>
        </w:rPr>
      </w:pPr>
      <w:r>
        <w:rPr>
          <w:rFonts w:ascii="Times New Roman" w:cs="Times New Roman" w:eastAsia="Times New Roman" w:hAnsi="Times New Roman"/>
          <w:sz w:val="18"/>
          <w:szCs w:val="18"/>
          <w:color w:val="auto"/>
        </w:rPr>
        <w:t>future as we continue to incur substantial expenses related to the ongoing commercialization of NEXLETOL and NEXLIZET and study completion</w:t>
      </w:r>
    </w:p>
    <w:p>
      <w:pPr>
        <w:spacing w:after="0" w:line="232" w:lineRule="auto"/>
        <w:rPr>
          <w:sz w:val="20"/>
          <w:szCs w:val="20"/>
          <w:color w:val="auto"/>
        </w:rPr>
      </w:pPr>
      <w:r>
        <w:rPr>
          <w:rFonts w:ascii="Times New Roman" w:cs="Times New Roman" w:eastAsia="Times New Roman" w:hAnsi="Times New Roman"/>
          <w:sz w:val="17"/>
          <w:szCs w:val="17"/>
          <w:color w:val="auto"/>
        </w:rPr>
        <w:t>activities for our ongoing CLEAR Outcomes CVOT. We anticipate that our current cash, cash equivalents, investments, expected future net product sales of</w:t>
      </w:r>
    </w:p>
    <w:p>
      <w:pPr>
        <w:spacing w:after="0" w:line="219" w:lineRule="auto"/>
        <w:rPr>
          <w:sz w:val="20"/>
          <w:szCs w:val="20"/>
          <w:color w:val="auto"/>
        </w:rPr>
      </w:pPr>
      <w:r>
        <w:rPr>
          <w:rFonts w:ascii="Times New Roman" w:cs="Times New Roman" w:eastAsia="Times New Roman" w:hAnsi="Times New Roman"/>
          <w:sz w:val="18"/>
          <w:szCs w:val="18"/>
          <w:color w:val="auto"/>
        </w:rPr>
        <w:t>NEXLETOL and NEXLIZET, and expected future revenue under our collaboration agreements is sufficient to allow us to complete and report results from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CLEAR Outcomes CVOT and fund continuing operations for the foreseeable future beyond the CVOT read-out.</w:t>
      </w:r>
    </w:p>
    <w:p>
      <w:pPr>
        <w:spacing w:after="0" w:line="23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As of September 30, 2022, our primary sources of liquidity were our cash and cash equivalents and available-for-sale investments which totaled $239.3 million, which includes $50 million that is restricted per the amendment and waiver with Oberland. We invest our cash equivalents and investments in highly liquid, interest-bearing investment-grade securities and government securities to preserve principal.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primary sources and uses of cash for the periods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7"/>
                <w:szCs w:val="17"/>
                <w:color w:val="auto"/>
              </w:rPr>
            </w:pPr>
          </w:p>
        </w:tc>
      </w:tr>
      <w:tr>
        <w:trPr>
          <w:trHeight w:val="23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(132,355)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(206,103)</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54,813</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(151,290)</w:t>
            </w:r>
          </w:p>
        </w:tc>
      </w:tr>
      <w:tr>
        <w:trPr>
          <w:trHeight w:val="21"/>
        </w:trPr>
        <w:tc>
          <w:tcPr>
            <w:tcW w:w="7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costs related to the commercialization of NEXLETOL and NEXLIZET and related to ongoing research and development, regulatory and other clinical study costs associated with the development of bempedoic acid and the bempedoic acid / ezetimibe combination tablet.</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totaled $132.4 million for the nine months ended September 30, 2022, compared to $206.1 million for the nine months ended September 30, 2021. Net cash used for the nine months ended September 30, 2022 consists primarily of net product sales of NEXLETOL and NEXLIZET fully offset by cash used to fund the commercialization activities of NEXLETOL and NEXLIZET and the research and development costs related to bempedoic acid and the bempedoic acid / ezetimibe combination tablet, adjusted for non-cash expenses such as stock-based compensation expense, interest expense related to our RIPA with Oberland, depreciation and amortization and changes in working capital. Net cash for the nine months ended September 30, 2021 consisted of net product sales of NEXLETOL and NEXLIZET and $30.0 million in upfront fees from DS fully offset by cash used to fund the commercialization activities of NEXLETOL and NEXLIZET and the research and development costs related to bempedoic acid and the bempedoic acid / ezetimibe combination tablets, adjusted for non-cash expenses such as stock-based compensation expense, interest expense related to our RIPA with Oberland, depreciation and amortization and changes in working capital.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of $19.9 million for the nine months ended September 30, 2022 consisted primarily of proceeds from the sales of highly liquid, interest bearing investment grade and government securities. We did not have cash provided by or used in investing activities for the nine months ended September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invested in available-for-sale investments at September 30, 2022 will become available for our use over the next twelve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$63.0 million for the nine months ended September 30, 2022 related primarily to proceeds from our ATM program, partially offset by payments on our revenue interest liability. Net cash provided by financing activities of $54.8 million for the nine months ended September 30, 2021 related primarily to $50 million in cash from our RIPA with Oberland and proceeds from exercise of our common stock, offset by payments on our revenue interest liability.</w:t>
      </w:r>
    </w:p>
    <w:p>
      <w:pPr>
        <w:spacing w:after="0" w:line="16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August 3, 2021, we filed an automatically effective registration statement on Form S-3ASR, or Registration Statement, with the SEC which registers the offering, issuance and sale of an unspecified amount of common stock, preferred stock, debt securities, warrants and/or units of any combination thereof. We simultaneously entered into an open market sale agreement with Jefferies LLC, as sales agent, to provide for the issuance and sale by the Company of up to $250 million of common stock from time to time in “at-the-market” offerings under the Registration Statement and related prospectus filed with the Registration Statement, or the ATM Program. During the three and nine months period ended September 30, 2021, the Company issued 363,061 shares of common stock resulting in net proceeds of approximately $4.2 million after deducting underwriting discounts and commissions and other expenses, pursuant to the ATM Program. During the year ended December 31, 2021, we issued 897,364 shares of common stock resulting in net proceeds of approximately $9.7 million after deducting underwriting discounts and commissions and other expenses, pursuant to the ATM Program. On April 15, 2022, the Company filed a new registration statement on Form S-3, which registers the offering, issuance and sale of up to $239 million of common stock from time to time in “at-the-market” offerings under the Registration Statement and related prospectus filed with the Registration Statement (the “New ATM Program”). During the three and nine month periods ended September 30, 2022, the Company issued 6,958,525 and 10,311,525 shares of common stock, respectively, resulting in net proceeds of approximately $48.6 million and $68.8 million after deducting $1.6 million and $2.4 million of underwriting discounts and commissions and other expenses, respectively, pursuant to the New ATM Program. We may continue to use the New ATM Program to address potential short-term or long-term funding requirements that may arise. Such program will continue to be subject to the volatility of the price of our common stock and general market conditions.</w:t>
      </w:r>
    </w:p>
    <w:p>
      <w:pPr>
        <w:spacing w:after="0" w:line="214"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8"/>
          <w:szCs w:val="18"/>
          <w:color w:val="auto"/>
        </w:rPr>
        <w:t>In December 2021, we entered into an underwriting agreement pursuant to which we sold 32,142,858 shares of common stock and issued accompanying warrants to purchase up to an aggregate of 36,964,286 shares of our common stock. The warrants are immediately exercisable and will expire two years from the date of issuance, at an exercise price of $9.00 per share, which may provide us with additional funding, if such warrants are exercised by their holders.</w:t>
      </w:r>
    </w:p>
    <w:p>
      <w:pPr>
        <w:spacing w:after="0" w:line="19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 2019, we entered into a RIPA with Oberland. Pursuant to the RIPA, Oberland paid us $125.0 million at closing, less certain issuance costs, and, subject to the terms and conditions of the RIPA, we received an additional $25.0 million upon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regulatory approval of NEXLETOL in 2020 and were eligible to receive an additional $50.0 million at our option upon reaching certain sales thresholds. In April 2021, we entered into Amendment No. 2 to the RIPA and Oberland waived the original trailing six-month world-wide net sales condition to the third installment payment under the RIPA and released the final $50 million payment payable to us under the terms of the RIPA. The amendment also updated the tiered payment percentage. As the quarterly net revenue from sales of NEXLETOL and NEXLIZET and certain other products in the United States did not exceed $15.0 million for the quarter ended September 30, 2021, we deposited $50.0 million in a deposit account with Oberland, which reduced our unrestricted cash. As consideration for the payments, Oberland has the right to receive certain revenue interests from us based on the net sales of certain products which will be tiered payments ranging from 3.3% to 10% of our net sales in the covered territory (as detailed in the RIPA). Esperion reacquires 100% revenue rights upon repayment completion. We recorded the proceeds from the RIPA as a liability on the balance sheets and are accounting for the RIPA under the effective-interest method over the estimated life of the RIPA. Future payments under the RIPA may range from $19.6 million in the next year to a maximum total payment of $420.8 million beyond one year. Per the terms of the agreement, every $100 million of net sales generated, less than or equal to $250 million in an annual aggregate, would result in a repayment obligation of approximately $10.0 million or 10% at the stated repayment rate in the first year. In the future, as net sales thresholds set forth in the agreement are met and the repayment percentage rate changes, the amount of the obligation and timing of payment is likely to change. As the U.S. net sales were less than $350 million for the year ended December 31, 2021, the Covered Territory was expanded to include worldwide sales beginning in 2022. A significant increase or decrease in net sales will materially impact the revenue interest liability, interest expense and the time period for repayment. Refer to Note 8 "Liability Related to the Revenue Interest Purchase Agreement" in our condensed financial statements included in this Form 10-Q for the quarter ended September 30, 2022 for further information.</w:t>
      </w:r>
    </w:p>
    <w:p>
      <w:pPr>
        <w:spacing w:after="0" w:line="202"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On November 16, 2020, we issued $250.0 million aggregate principal amount of 4.00% convertible senior subordinated notes due 2025 to certain financial institutions as the initial purchasers of the convertible notes. An additional $30.0 million of additional convertible notes (collectively, the "Convertible Notes"), which were issued pursuant to the exercise of the initial purchasers' option to purchase such convertible notes, closed on November 18, 2020. On October 22, 2021, we entered into the Exchange Agreement with the Holders of our Convertible Notes. Under the terms of the Exchange Agreement the Holders agreed to exchange with us $15.0 million aggregate principal amount of Convertible Notes held in the aggregate by them (and accrued interest thereon) for shares of our common stock, which closed on November 3, 2021. Future payments under the convertible notes include annual interest of $10.6 million and a principal payment of $265.0 million in 2025. Refer to Note 9 "Convertible Notes" in our condensed financial statements included in this Form 10-Q for the quarter ended September 30, 2022 for further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Operations and Funding Requirements</w:t>
      </w:r>
    </w:p>
    <w:p>
      <w:pPr>
        <w:spacing w:after="0" w:line="2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in connection with study completion activities for our ongoing CLEAR Outcomes CVOT and our continued commercialization activities associated with NEXLETOL and NEXLIZET in the U.S. Pursuant to the license and collaboration agreements with DSE, Otsuka, and DS, we are eligible for substantial additional sales and regulatory milestone payments and royalties. We estimate that current cash resources, proceeds to be received in the future for product sales and proceeds under the collaboration agreements with Daiichi Sankyo and Otsuka are sufficient to allow us to complete and report results from the CLEAR Outcomes CVOT and fund continuing operations for the foreseeable future beyond the CVOT read-out. We have based these estimates on assumptions that may prove to be wrong, and we may use our available capital resources sooner than we currently expect. We may need to secure additional cash resources or implement certain additional cost reduction initiatives to continue to fund the commercialization and further development of bempedoic acid and the bempedoic acid / ezetimibe combination tablet, particularly if there are delays in the completion of the CLEAR Outcomes CVOT or our net product sales do not meet our expectations. Because of the numerous risks and uncertainties associated with the development and ongoing commercialization of bempedoic acid and the bempedoic acid / ezetimibe combination tablet and the extent to which we entered and may enter into collaborations with pharmaceutical partners regarding the development and commercialization of bempedoic acid and the bempedoic acid / ezetimibe combination tablet, we are unable to estimate the amounts of increased capital outlays and operating expenses associated with completing the development and commercialization of bempedoic acid and the bempedoic acid / ezetimibe combination tablet. Our future funding requirements will depend on many factors, including, but not limited to:</w:t>
      </w:r>
    </w:p>
    <w:p>
      <w:pPr>
        <w:spacing w:after="0" w:line="229"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NEXLETOL and NEXLIZET or other product candidates;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our CLEAR Outcomes CVOT and other ongoing clinical studies of bempedoic acid and the bempedoic acid / ezetimibe combination tablet;</w:t>
      </w:r>
    </w:p>
    <w:p>
      <w:pPr>
        <w:spacing w:after="0" w:line="16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obtain regulatory approvals for bempedoic acid and the bempedoic acid / ezetimibe combination tablet outside the U.S. and Europe;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any future collaboration or commercialization arrangements on favorable terms, if at all;</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intended benefits of our existing and future collaboration and partnerships;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operational and financial information technology.</w:t>
      </w:r>
    </w:p>
    <w:p>
      <w:pPr>
        <w:spacing w:after="0" w:line="21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Until such time, if ever, as we can generate U.S. substantial product revenues, we expect to finance our cash needs through a combination of collaborations with third parties, strategic alliances, licensing arrangements, permitted debt financings, permitted royalty-based financings and equity offerings or other sources. 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and permitted under the terms of our RIPA,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or royalty-based financing arrangements, such as the collaboration arrangement with DSE, Otsuka and DS, and the RIPA with Oberland, we may have to relinquish valuable rights to our technologies, future revenue streams or grant licenses on terms that may not be favorable to us. For instance, as part of the RIPA with Oberland, Oberland has the right to receive certain revenue interests from us based on the net sales of certain products, and we have granted Oberland a senior security interest in certain of our assets. If our cash flows and capital resources are insufficient to allow us to make required payments, we may have to reduce or delay capital expenditures, sell assets or seek additional capital. If we raise funds by selling additional equity, such sale would result in dilution to our stockholders. If we are unable to raise additional funds through equity or permitted debt financings or through collaborations, strategic alliances or licensing arrangements or permitted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202"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We do not currently have, nor did we have during the periods presented, any off-balance sheet arrangements as defined by Securities and Exchange Commission rules.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in our Annual Report on Form 10-K for the fiscal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President and Chief Executive Officer, who is our principal executive officer and currently serving as our principal financial officer, to allow timely decisions regarding required disclosure.</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September 30, 2022,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who is also serving as our principal financial officer, has concluded based upon the evaluation described above that, as of September 30, 2022,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“Commitments and Contingencies” in Note 5 to our condensed financial statements included elsewhere in this Form 10-Q and is incorporated by reference into this Item 1.</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40" w:firstLine="648"/>
        <w:spacing w:after="0" w:line="275" w:lineRule="auto"/>
        <w:rPr>
          <w:sz w:val="20"/>
          <w:szCs w:val="20"/>
          <w:color w:val="auto"/>
        </w:rPr>
      </w:pPr>
      <w:r>
        <w:rPr>
          <w:rFonts w:ascii="Times New Roman" w:cs="Times New Roman" w:eastAsia="Times New Roman" w:hAnsi="Times New Roman"/>
          <w:sz w:val="17"/>
          <w:szCs w:val="17"/>
          <w:i w:val="1"/>
          <w:iCs w:val="1"/>
          <w:color w:val="auto"/>
        </w:rPr>
        <w:t>Except for the historical information contained herein or incorporated by reference, this report and the information incorporated by reference contains forward-looking statements that involve risks and uncertainties. These statements include projections about our accounting and finances, plans and objectives for the future, future operating and economic performance and other statements regarding future performance. These statements are not guarantees of future performance or events. Our actual results could differ materially from those discussed in this report. Factors that could cause or contribute to these differences include, but are not limited to, those discussed in Part I, Item 2 entitled "Management's Discussion and Analysis of Financial Condition and Results of Operations" and elsewhere throughout this report and in any documents incorporated in this report by reference.</w:t>
      </w:r>
    </w:p>
    <w:p>
      <w:pPr>
        <w:spacing w:after="0" w:line="19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 factors, together with those set forth in Part I, Item 1A in our Annual Report on Form 10-K for the fiscal year ended December 31, 2021 and in all of the other information included or incorporated in this report. The following risk factors represent new risk factors or those containing changes, including material changes, to the risk factors set forth in Part I, Item 1A of our Annual Report on Form 10-K for the fiscal year ended December 31, 2021. If any of the previously identified or following risks, either alone or taken together,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Impact of Uncertain Capital Markets</w:t>
      </w:r>
    </w:p>
    <w:p>
      <w:pPr>
        <w:spacing w:after="0" w:line="29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relied in part on sales of our common shares through our at-the-market (ATM) offering program. Increased volatility and decreases in market prices of equity securities generally and of our common shares in particular may have an adverse impact on our willingness and/or</w:t>
      </w: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ability to continue to sell our common shares through our ATM offering. Decreases in these sales would/could affect the cost or availability of equity capital, which could in turn have an adverse effect on our business, including current operations, future growth, revenues, net income and the market prices of our common shares.</w:t>
      </w:r>
    </w:p>
    <w:p>
      <w:pPr>
        <w:spacing w:after="0" w:line="202"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On August 3, 2021, we commenced an at-the-market, or ATM, program to raise capital under an automatically effective registration statement on Form S-3ASR, which was replaced on April 15, 2022 with a new registration statement on Form S-3. Under our ATM program, we have entered into a sales agreement to sell common shares, up to a maximum aggregate market value of $250 million, through one or more at-the-market offerings. Given the</w:t>
      </w:r>
    </w:p>
    <w:p>
      <w:pPr>
        <w:spacing w:after="0" w:line="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volatility in the capital markets, we may not be willing or able to continue to raise equity capital through our ATM program. We may, therefore, need to turn to other sources of funding that may have terms that are not favorable to us, or reduce our business operations given capital constraints.</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shares. In addition, if we issue debt securities, the holders of the debt would have a claim to our assets that would be superior to the rights of stockholders until the principal, accrued and unpaid interest and any premium or make-whole has been paid.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volatility in capital markets and lower market prices for our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spacing w:after="0" w:line="20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operations consume substantial amounts of cash, and we may increase our investment in our commercial infrastructure after we report top-line results from the CLEAR Outcomes trial. Our future capital requirements may be significantly different from our current estimates and will depend on many factors, including the need to:</w:t>
      </w:r>
    </w:p>
    <w:p>
      <w:pPr>
        <w:spacing w:after="0" w:line="20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technological infrastructure and our existing solutions;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25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which Exhibit Index is incorporated herein by reference.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7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18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Form or</w:t>
            </w:r>
          </w:p>
        </w:tc>
        <w:tc>
          <w:tcPr>
            <w:tcW w:w="10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2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18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0" w:type="dxa"/>
            <w:vAlign w:val="bottom"/>
            <w:gridSpan w:val="14"/>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with</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14"/>
            <w:vMerge w:val="continue"/>
          </w:tcPr>
          <w:p>
            <w:pPr>
              <w:spacing w:after="0"/>
              <w:rPr>
                <w:sz w:val="17"/>
                <w:szCs w:val="17"/>
                <w:color w:val="auto"/>
              </w:rPr>
            </w:pPr>
          </w:p>
        </w:tc>
        <w:tc>
          <w:tcPr>
            <w:tcW w:w="11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0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No.</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24"/>
        </w:trPr>
        <w:tc>
          <w:tcPr>
            <w:tcW w:w="640" w:type="dxa"/>
            <w:vAlign w:val="bottom"/>
            <w:gridSpan w:val="4"/>
          </w:tcPr>
          <w:p>
            <w:pPr>
              <w:jc w:val="center"/>
              <w:ind w:left="360"/>
              <w:spacing w:after="0"/>
              <w:rPr>
                <w:rFonts w:ascii="Times New Roman" w:cs="Times New Roman" w:eastAsia="Times New Roman" w:hAnsi="Times New Roman"/>
                <w:sz w:val="16"/>
                <w:szCs w:val="16"/>
                <w:color w:val="0000FF"/>
                <w:w w:val="99"/>
              </w:rPr>
            </w:pPr>
            <w:hyperlink r:id="rId54">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17"/>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Amended and Restated Certificate of Incorporation of the</w:t>
              </w:r>
            </w:hyperlink>
          </w:p>
        </w:tc>
        <w:tc>
          <w:tcPr>
            <w:tcW w:w="118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3.2</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12, 2013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333-188595</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Registrant</w:t>
              </w:r>
            </w:hyperlink>
          </w:p>
        </w:tc>
        <w:tc>
          <w:tcPr>
            <w:tcW w:w="3060" w:type="dxa"/>
            <w:vAlign w:val="bottom"/>
            <w:tcBorders>
              <w:top w:val="single" w:sz="8" w:color="0000FF"/>
            </w:tcBorders>
            <w:gridSpan w:val="5"/>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4"/>
          </w:tcPr>
          <w:p>
            <w:pPr>
              <w:jc w:val="center"/>
              <w:ind w:left="360"/>
              <w:spacing w:after="0"/>
              <w:rPr>
                <w:rFonts w:ascii="Times New Roman" w:cs="Times New Roman" w:eastAsia="Times New Roman" w:hAnsi="Times New Roman"/>
                <w:sz w:val="16"/>
                <w:szCs w:val="16"/>
                <w:color w:val="0000FF"/>
                <w:w w:val="99"/>
              </w:rPr>
            </w:pPr>
            <w:hyperlink r:id="rId55">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17"/>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Certificate of Amendment to Amended and Restated Certificate of</w:t>
              </w:r>
            </w:hyperlink>
          </w:p>
        </w:tc>
        <w:tc>
          <w:tcPr>
            <w:tcW w:w="118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26, 2022</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32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Incorporation of the Registrant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gridSpan w:val="4"/>
          </w:tcPr>
          <w:p>
            <w:pPr>
              <w:jc w:val="center"/>
              <w:ind w:left="360"/>
              <w:spacing w:after="0"/>
              <w:rPr>
                <w:rFonts w:ascii="Times New Roman" w:cs="Times New Roman" w:eastAsia="Times New Roman" w:hAnsi="Times New Roman"/>
                <w:sz w:val="16"/>
                <w:szCs w:val="16"/>
                <w:color w:val="0000FF"/>
                <w:w w:val="99"/>
              </w:rPr>
            </w:pPr>
            <w:hyperlink r:id="rId56">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3</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17"/>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Certificate of Validation relating to Certificate of Amendment to the</w:t>
              </w:r>
            </w:hyperlink>
          </w:p>
        </w:tc>
        <w:tc>
          <w:tcPr>
            <w:tcW w:w="118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20, 2022</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2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Amended and Restated Certificate of Incorporation of the</w:t>
              </w:r>
            </w:hyperlink>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4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Registrant dated May 26, 2022</w:t>
              </w:r>
            </w:hyperlink>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gridSpan w:val="4"/>
          </w:tcPr>
          <w:p>
            <w:pPr>
              <w:jc w:val="center"/>
              <w:ind w:left="360"/>
              <w:spacing w:after="0"/>
              <w:rPr>
                <w:rFonts w:ascii="Times New Roman" w:cs="Times New Roman" w:eastAsia="Times New Roman" w:hAnsi="Times New Roman"/>
                <w:sz w:val="16"/>
                <w:szCs w:val="16"/>
                <w:color w:val="0000FF"/>
                <w:w w:val="99"/>
              </w:rPr>
            </w:pPr>
            <w:hyperlink r:id="rId57">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4</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17"/>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Second Amended and Restated Bylaws of the Registrant dated</w:t>
              </w:r>
            </w:hyperlink>
          </w:p>
        </w:tc>
        <w:tc>
          <w:tcPr>
            <w:tcW w:w="118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rPr>
              <w:t>10-Q</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4, 2021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April 29, 2021</w:t>
              </w:r>
            </w:hyperlink>
          </w:p>
        </w:tc>
        <w:tc>
          <w:tcPr>
            <w:tcW w:w="3100" w:type="dxa"/>
            <w:vAlign w:val="bottom"/>
            <w:tcBorders>
              <w:top w:val="single" w:sz="8" w:color="0000FF"/>
            </w:tcBorders>
            <w:gridSpan w:val="5"/>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640" w:type="dxa"/>
            <w:vAlign w:val="bottom"/>
            <w:gridSpan w:val="4"/>
          </w:tcPr>
          <w:p>
            <w:pPr>
              <w:jc w:val="center"/>
              <w:ind w:left="360"/>
              <w:spacing w:after="0"/>
              <w:rPr>
                <w:rFonts w:ascii="Times New Roman" w:cs="Times New Roman" w:eastAsia="Times New Roman" w:hAnsi="Times New Roman"/>
                <w:sz w:val="16"/>
                <w:szCs w:val="16"/>
                <w:color w:val="0000FF"/>
                <w:w w:val="99"/>
              </w:rPr>
            </w:pPr>
            <w:hyperlink r:id="rId58">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1</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17"/>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Specimen Common Stock Certificate</w:t>
              </w:r>
            </w:hyperlink>
          </w:p>
        </w:tc>
        <w:tc>
          <w:tcPr>
            <w:tcW w:w="118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8"/>
              </w:rPr>
              <w:t>S-1</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4.1</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12, 2013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333-188595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gridSpan w:val="5"/>
          </w:tcPr>
          <w:p>
            <w:pPr>
              <w:jc w:val="center"/>
              <w:ind w:left="280"/>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460" w:type="dxa"/>
            <w:vAlign w:val="bottom"/>
          </w:tcPr>
          <w:p>
            <w:pPr>
              <w:spacing w:after="0"/>
              <w:rPr>
                <w:sz w:val="24"/>
                <w:szCs w:val="24"/>
                <w:color w:val="auto"/>
              </w:rPr>
            </w:pPr>
          </w:p>
        </w:tc>
        <w:tc>
          <w:tcPr>
            <w:tcW w:w="45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 13a-</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14(a) and Rule 15d-14(a) of the Securities Exchange Act of 1934,</w:t>
            </w:r>
          </w:p>
        </w:tc>
        <w:tc>
          <w:tcPr>
            <w:tcW w:w="20" w:type="dxa"/>
            <w:vAlign w:val="bottom"/>
            <w:tcBorders>
              <w:bottom w:val="single" w:sz="8" w:color="0000FF"/>
            </w:tcBorders>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302 of the Sarbanes-Oxley Act of</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2002</w:t>
            </w:r>
          </w:p>
        </w:tc>
        <w:tc>
          <w:tcPr>
            <w:tcW w:w="3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720" w:type="dxa"/>
            <w:vAlign w:val="bottom"/>
            <w:gridSpan w:val="5"/>
          </w:tcPr>
          <w:p>
            <w:pPr>
              <w:jc w:val="center"/>
              <w:ind w:left="280"/>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460" w:type="dxa"/>
            <w:vAlign w:val="bottom"/>
          </w:tcPr>
          <w:p>
            <w:pPr>
              <w:spacing w:after="0"/>
              <w:rPr>
                <w:sz w:val="24"/>
                <w:szCs w:val="24"/>
                <w:color w:val="auto"/>
              </w:rPr>
            </w:pPr>
          </w:p>
        </w:tc>
        <w:tc>
          <w:tcPr>
            <w:tcW w:w="45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 13a-</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2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w w:val="99"/>
              </w:rPr>
              <w:t>14(a) and Rule 15d-14(a) of the Securities Exchange Act of 1934,</w:t>
            </w:r>
          </w:p>
        </w:tc>
        <w:tc>
          <w:tcPr>
            <w:tcW w:w="1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tcBorders>
              <w:top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302 of the Sarbanes-Oxley Act of</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2002</w:t>
            </w:r>
          </w:p>
        </w:tc>
        <w:tc>
          <w:tcPr>
            <w:tcW w:w="3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11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7"/>
                <w:szCs w:val="17"/>
                <w:color w:val="0000FF"/>
              </w:rPr>
              <w:t>+</w:t>
            </w:r>
          </w:p>
        </w:tc>
        <w:tc>
          <w:tcPr>
            <w:tcW w:w="45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 Financial</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60" w:type="dxa"/>
            <w:vAlign w:val="bottom"/>
          </w:tcPr>
          <w:p>
            <w:pPr>
              <w:spacing w:after="0"/>
              <w:rPr>
                <w:sz w:val="10"/>
                <w:szCs w:val="10"/>
                <w:color w:val="auto"/>
              </w:rPr>
            </w:pPr>
          </w:p>
        </w:tc>
        <w:tc>
          <w:tcPr>
            <w:tcW w:w="4360" w:type="dxa"/>
            <w:vAlign w:val="bottom"/>
            <w:tcBorders>
              <w:top w:val="single" w:sz="8" w:color="0000FF"/>
            </w:tcBorders>
            <w:gridSpan w:val="15"/>
          </w:tcPr>
          <w:p>
            <w:pPr>
              <w:spacing w:after="0" w:line="122" w:lineRule="exact"/>
              <w:rPr>
                <w:sz w:val="20"/>
                <w:szCs w:val="20"/>
                <w:color w:val="auto"/>
              </w:rPr>
            </w:pPr>
            <w:r>
              <w:rPr>
                <w:rFonts w:ascii="Times New Roman" w:cs="Times New Roman" w:eastAsia="Times New Roman" w:hAnsi="Times New Roman"/>
                <w:sz w:val="14"/>
                <w:szCs w:val="14"/>
                <w:color w:val="0000FF"/>
              </w:rPr>
              <w:t>Officer pursuant to 18 U.S.C. Section 1350, as adopted pursuant to</w:t>
            </w:r>
          </w:p>
        </w:tc>
        <w:tc>
          <w:tcPr>
            <w:tcW w:w="200" w:type="dxa"/>
            <w:vAlign w:val="bottom"/>
            <w:gridSpan w:val="2"/>
          </w:tcPr>
          <w:p>
            <w:pPr>
              <w:spacing w:after="0"/>
              <w:rPr>
                <w:sz w:val="10"/>
                <w:szCs w:val="10"/>
                <w:color w:val="auto"/>
              </w:rPr>
            </w:pPr>
          </w:p>
        </w:tc>
        <w:tc>
          <w:tcPr>
            <w:tcW w:w="1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Section 906 of the Sarbanes-Oxley Act of 2002</w:t>
            </w:r>
          </w:p>
        </w:tc>
        <w:tc>
          <w:tcPr>
            <w:tcW w:w="1260" w:type="dxa"/>
            <w:vAlign w:val="bottom"/>
            <w:tcBorders>
              <w:top w:val="single" w:sz="8" w:color="0000FF"/>
            </w:tcBorders>
            <w:gridSpan w:val="8"/>
          </w:tcPr>
          <w:p>
            <w:pPr>
              <w:spacing w:after="0"/>
              <w:rPr>
                <w:sz w:val="12"/>
                <w:szCs w:val="12"/>
                <w:color w:val="auto"/>
              </w:rPr>
            </w:pPr>
          </w:p>
        </w:tc>
        <w:tc>
          <w:tcPr>
            <w:tcW w:w="220" w:type="dxa"/>
            <w:vAlign w:val="bottom"/>
            <w:gridSpan w:val="3"/>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11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101.SCH*</w:t>
            </w:r>
          </w:p>
        </w:tc>
        <w:tc>
          <w:tcPr>
            <w:tcW w:w="45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101.CAL*</w:t>
            </w:r>
          </w:p>
        </w:tc>
        <w:tc>
          <w:tcPr>
            <w:tcW w:w="45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101.LAB*</w:t>
            </w:r>
          </w:p>
        </w:tc>
        <w:tc>
          <w:tcPr>
            <w:tcW w:w="45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101.PRE*</w:t>
            </w:r>
          </w:p>
        </w:tc>
        <w:tc>
          <w:tcPr>
            <w:tcW w:w="45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w w:val="99"/>
              </w:rPr>
              <w:t>101.DEF*</w:t>
            </w:r>
          </w:p>
        </w:tc>
        <w:tc>
          <w:tcPr>
            <w:tcW w:w="45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0" w:type="dxa"/>
            <w:vAlign w:val="bottom"/>
            <w:gridSpan w:val="5"/>
          </w:tcPr>
          <w:p>
            <w:pPr>
              <w:jc w:val="center"/>
              <w:ind w:left="280"/>
              <w:spacing w:after="0"/>
              <w:rPr>
                <w:sz w:val="20"/>
                <w:szCs w:val="20"/>
                <w:color w:val="auto"/>
              </w:rPr>
            </w:pPr>
            <w:r>
              <w:rPr>
                <w:rFonts w:ascii="Times New Roman" w:cs="Times New Roman" w:eastAsia="Times New Roman" w:hAnsi="Times New Roman"/>
                <w:sz w:val="16"/>
                <w:szCs w:val="16"/>
                <w:color w:val="auto"/>
                <w:w w:val="99"/>
              </w:rPr>
              <w:t>104*</w:t>
            </w:r>
          </w:p>
        </w:tc>
        <w:tc>
          <w:tcPr>
            <w:tcW w:w="460" w:type="dxa"/>
            <w:vAlign w:val="bottom"/>
          </w:tcPr>
          <w:p>
            <w:pPr>
              <w:spacing w:after="0"/>
              <w:rPr>
                <w:sz w:val="24"/>
                <w:szCs w:val="24"/>
                <w:color w:val="auto"/>
              </w:rPr>
            </w:pPr>
          </w:p>
        </w:tc>
        <w:tc>
          <w:tcPr>
            <w:tcW w:w="976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900" w:hanging="325"/>
        <w:spacing w:after="0" w:line="255" w:lineRule="auto"/>
        <w:tabs>
          <w:tab w:leader="none" w:pos="8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7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ESPERION THERAPEUTICS, INC.</w:t>
            </w:r>
          </w:p>
        </w:tc>
      </w:tr>
      <w:tr>
        <w:trPr>
          <w:trHeight w:val="76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2022</w:t>
            </w:r>
          </w:p>
        </w:tc>
        <w:tc>
          <w:tcPr>
            <w:tcW w:w="77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Sheldon L. Koenig</w:t>
            </w:r>
          </w:p>
        </w:tc>
      </w:tr>
      <w:tr>
        <w:trPr>
          <w:trHeight w:val="216"/>
        </w:trPr>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30"/>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182"/>
        </w:trPr>
        <w:tc>
          <w:tcPr>
            <w:tcW w:w="34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2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Executive Officer, Principal Financial Officer and Principal</w:t>
            </w:r>
          </w:p>
        </w:tc>
      </w:tr>
      <w:tr>
        <w:trPr>
          <w:trHeight w:val="236"/>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121"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Sheldon L. Koenig, certify that:</w:t>
      </w:r>
    </w:p>
    <w:p>
      <w:pPr>
        <w:spacing w:after="0" w:line="225"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2022, of Esperion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 2022</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88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29"/>
        </w:trPr>
        <w:tc>
          <w:tcPr>
            <w:tcW w:w="588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182"/>
        </w:trPr>
        <w:tc>
          <w:tcPr>
            <w:tcW w:w="5880" w:type="dxa"/>
            <w:vAlign w:val="bottom"/>
          </w:tcPr>
          <w:p>
            <w:pPr>
              <w:spacing w:after="0"/>
              <w:rPr>
                <w:sz w:val="15"/>
                <w:szCs w:val="15"/>
                <w:color w:val="auto"/>
              </w:rPr>
            </w:pPr>
          </w:p>
        </w:tc>
        <w:tc>
          <w:tcPr>
            <w:tcW w:w="53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Executive Officer, Principal Financial Officer and Principal</w:t>
            </w:r>
          </w:p>
        </w:tc>
      </w:tr>
      <w:tr>
        <w:trPr>
          <w:trHeight w:val="236"/>
        </w:trPr>
        <w:tc>
          <w:tcPr>
            <w:tcW w:w="5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bl>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Sheldon L. Koenig, certify that:</w:t>
      </w:r>
    </w:p>
    <w:p>
      <w:pPr>
        <w:spacing w:after="0" w:line="225"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2022, of Esperion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 2022</w:t>
            </w: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18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30"/>
        </w:trPr>
        <w:tc>
          <w:tcPr>
            <w:tcW w:w="51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182"/>
        </w:trPr>
        <w:tc>
          <w:tcPr>
            <w:tcW w:w="5180" w:type="dxa"/>
            <w:vAlign w:val="bottom"/>
          </w:tcPr>
          <w:p>
            <w:pPr>
              <w:spacing w:after="0"/>
              <w:rPr>
                <w:sz w:val="15"/>
                <w:szCs w:val="15"/>
                <w:color w:val="auto"/>
              </w:rPr>
            </w:pPr>
          </w:p>
        </w:tc>
        <w:tc>
          <w:tcPr>
            <w:tcW w:w="60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Executive Officer, Principal Financial Officer and Principal</w:t>
            </w:r>
          </w:p>
        </w:tc>
      </w:tr>
      <w:tr>
        <w:trPr>
          <w:trHeight w:val="236"/>
        </w:trPr>
        <w:tc>
          <w:tcPr>
            <w:tcW w:w="518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bl>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Esperion Therapeutics, Inc. (the “Company”) for the period ended September 30, 2022, as filed with the Securities and Exchange Commission on the date hereof (the “Report”), each of the undersigned officers of Esperion Therapeutics, Inc., hereby certify, pursuant to Section 906 of the Sarbanes-Oxley Act of 2002, 18 U.S.C. Section 1350, that, to my knowledge as of the date hereof:</w:t>
      </w:r>
    </w:p>
    <w:p>
      <w:pPr>
        <w:spacing w:after="0" w:line="176" w:lineRule="exact"/>
        <w:rPr>
          <w:sz w:val="20"/>
          <w:szCs w:val="20"/>
          <w:color w:val="auto"/>
        </w:rPr>
      </w:pPr>
    </w:p>
    <w:p>
      <w:pPr>
        <w:ind w:left="660" w:right="340" w:hanging="652"/>
        <w:spacing w:after="0" w:line="282" w:lineRule="auto"/>
        <w:tabs>
          <w:tab w:leader="none" w:pos="6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 2022</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30"/>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182"/>
        </w:trPr>
        <w:tc>
          <w:tcPr>
            <w:tcW w:w="5260" w:type="dxa"/>
            <w:vAlign w:val="bottom"/>
          </w:tcPr>
          <w:p>
            <w:pPr>
              <w:spacing w:after="0"/>
              <w:rPr>
                <w:sz w:val="15"/>
                <w:szCs w:val="15"/>
                <w:color w:val="auto"/>
              </w:rPr>
            </w:pPr>
          </w:p>
        </w:tc>
        <w:tc>
          <w:tcPr>
            <w:tcW w:w="59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Executive Officer, Principal Financial Officer and Principal</w:t>
            </w:r>
          </w:p>
        </w:tc>
      </w:tr>
      <w:tr>
        <w:trPr>
          <w:trHeight w:val="236"/>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lvl w:ilvl="1">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9" Type="http://schemas.openxmlformats.org/officeDocument/2006/relationships/image" Target="media/image47.png"/><Relationship Id="rId54" Type="http://schemas.openxmlformats.org/officeDocument/2006/relationships/hyperlink" Target="https://www.sec.gov/Archives/edgar/data/1434868/000104746913006896/a2215641zex-3_2.htm" TargetMode="External"/><Relationship Id="rId55" Type="http://schemas.openxmlformats.org/officeDocument/2006/relationships/hyperlink" Target="https://www.sec.gov/Archives/edgar/data/1434868/000162828022015488/exhibit31.htm" TargetMode="External"/><Relationship Id="rId56" Type="http://schemas.openxmlformats.org/officeDocument/2006/relationships/hyperlink" Target="https://www.sec.gov/Archives/edgar/data/1434868/000162828022025245/exhibit31certificateofvali.htm" TargetMode="External"/><Relationship Id="rId57" Type="http://schemas.openxmlformats.org/officeDocument/2006/relationships/hyperlink" Target="https://www.sec.gov/Archives/edgar/data/1434868/000162828021008918/ex31-secondamendedandresta.htm" TargetMode="External"/><Relationship Id="rId58" Type="http://schemas.openxmlformats.org/officeDocument/2006/relationships/hyperlink" Target="https://www.sec.gov/Archives/edgar/data/1434868/000104746913006896/a2215641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2022-11-01T07:56:26Z</dcterms:created>
  <dcterms:modified xsi:type="dcterms:W3CDTF">2022-11-01T07:56:26Z</dcterms:modified>
</cp:coreProperties>
</file>