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205105</wp:posOffset>
            </wp:positionH>
            <wp:positionV relativeFrom="page">
              <wp:posOffset>548640</wp:posOffset>
            </wp:positionV>
            <wp:extent cx="7064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437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507365</wp:posOffset>
            </wp:positionV>
            <wp:extent cx="706437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4375" cy="16510"/>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ectPr>
          <w:pgSz w:w="11900" w:h="16838" w:orient="portrait"/>
          <w:cols w:equalWidth="0" w:num="1">
            <w:col w:w="11240"/>
          </w:cols>
          <w:pgMar w:left="320" w:top="935" w:right="339" w:bottom="1440" w:gutter="0" w:footer="0" w:header="0"/>
        </w:sectPr>
      </w:pPr>
    </w:p>
    <w:p>
      <w:pPr>
        <w:spacing w:after="0" w:line="96"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3" w:lineRule="exact"/>
        <w:rPr>
          <w:sz w:val="24"/>
          <w:szCs w:val="24"/>
          <w:color w:val="auto"/>
        </w:rPr>
      </w:pPr>
    </w:p>
    <w:p>
      <w:pPr>
        <w:jc w:val="center"/>
        <w:ind w:left="3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left="3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2"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59"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5" w:lineRule="exact"/>
        <w:rPr>
          <w:sz w:val="24"/>
          <w:szCs w:val="24"/>
          <w:color w:val="auto"/>
        </w:rPr>
      </w:pPr>
    </w:p>
    <w:p>
      <w:pPr>
        <w:ind w:left="3400" w:right="2980" w:hanging="3404"/>
        <w:spacing w:after="0" w:line="462" w:lineRule="auto"/>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ind w:left="3300"/>
        <w:spacing w:after="0"/>
        <w:rPr>
          <w:sz w:val="20"/>
          <w:szCs w:val="20"/>
          <w:color w:val="auto"/>
        </w:rPr>
      </w:pPr>
      <w:r>
        <w:rPr>
          <w:rFonts w:ascii="Times New Roman" w:cs="Times New Roman" w:eastAsia="Times New Roman" w:hAnsi="Times New Roman"/>
          <w:sz w:val="14"/>
          <w:szCs w:val="14"/>
          <w:b w:val="1"/>
          <w:bCs w:val="1"/>
          <w:color w:val="auto"/>
        </w:rPr>
        <w:t>Commission file number: 001-35986</w:t>
      </w:r>
    </w:p>
    <w:p>
      <w:pPr>
        <w:spacing w:after="0" w:line="64" w:lineRule="exact"/>
        <w:rPr>
          <w:sz w:val="24"/>
          <w:szCs w:val="24"/>
          <w:color w:val="auto"/>
        </w:rPr>
      </w:pPr>
    </w:p>
    <w:p>
      <w:pPr>
        <w:sectPr>
          <w:pgSz w:w="11900" w:h="16838" w:orient="portrait"/>
          <w:cols w:equalWidth="0" w:num="2">
            <w:col w:w="1000" w:space="260"/>
            <w:col w:w="9980"/>
          </w:cols>
          <w:pgMar w:left="320" w:top="93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6"/>
          <w:szCs w:val="26"/>
          <w:b w:val="1"/>
          <w:bCs w:val="1"/>
          <w:color w:val="auto"/>
        </w:rPr>
        <w:t>Esperion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500" w:type="dxa"/>
            <w:vAlign w:val="bottom"/>
            <w:gridSpan w:val="4"/>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260" w:type="dxa"/>
            <w:vAlign w:val="bottom"/>
          </w:tcPr>
          <w:p>
            <w:pPr>
              <w:jc w:val="right"/>
              <w:ind w:right="2811"/>
              <w:spacing w:after="0"/>
              <w:rPr>
                <w:sz w:val="20"/>
                <w:szCs w:val="20"/>
                <w:color w:val="auto"/>
              </w:rPr>
            </w:pPr>
            <w:r>
              <w:rPr>
                <w:rFonts w:ascii="Times New Roman" w:cs="Times New Roman" w:eastAsia="Times New Roman" w:hAnsi="Times New Roman"/>
                <w:sz w:val="14"/>
                <w:szCs w:val="14"/>
                <w:b w:val="1"/>
                <w:bCs w:val="1"/>
                <w:color w:val="auto"/>
              </w:rPr>
              <w:t>26-1870780</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6840" w:type="dxa"/>
            <w:vAlign w:val="bottom"/>
            <w:gridSpan w:val="5"/>
          </w:tcPr>
          <w:p>
            <w:pPr>
              <w:jc w:val="center"/>
              <w:ind w:left="791"/>
              <w:spacing w:after="0"/>
              <w:rPr>
                <w:sz w:val="20"/>
                <w:szCs w:val="20"/>
                <w:color w:val="auto"/>
              </w:rPr>
            </w:pPr>
            <w:r>
              <w:rPr>
                <w:rFonts w:ascii="Times New Roman" w:cs="Times New Roman" w:eastAsia="Times New Roman" w:hAnsi="Times New Roman"/>
                <w:sz w:val="14"/>
                <w:szCs w:val="14"/>
                <w:color w:val="auto"/>
                <w:w w:val="98"/>
              </w:rPr>
              <w:t>(State or Other Jurisdiction of Incorporation or Organization)</w:t>
            </w:r>
          </w:p>
        </w:tc>
        <w:tc>
          <w:tcPr>
            <w:tcW w:w="4260" w:type="dxa"/>
            <w:vAlign w:val="bottom"/>
          </w:tcPr>
          <w:p>
            <w:pPr>
              <w:jc w:val="center"/>
              <w:ind w:right="2111"/>
              <w:spacing w:after="0"/>
              <w:rPr>
                <w:sz w:val="20"/>
                <w:szCs w:val="20"/>
                <w:color w:val="auto"/>
              </w:rPr>
            </w:pPr>
            <w:r>
              <w:rPr>
                <w:rFonts w:ascii="Times New Roman" w:cs="Times New Roman" w:eastAsia="Times New Roman" w:hAnsi="Times New Roman"/>
                <w:sz w:val="14"/>
                <w:szCs w:val="14"/>
                <w:color w:val="auto"/>
                <w:w w:val="98"/>
              </w:rPr>
              <w:t>(I.R.S. Employer Identification No.)</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3891 Ranchero Drive, Suite 150</w:t>
            </w: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Ann Arbor, MI 48108</w:t>
            </w: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760" w:type="dxa"/>
            <w:vAlign w:val="bottom"/>
            <w:gridSpan w:val="5"/>
          </w:tcPr>
          <w:p>
            <w:pPr>
              <w:jc w:val="center"/>
              <w:ind w:right="3271"/>
              <w:spacing w:after="0"/>
              <w:rPr>
                <w:sz w:val="20"/>
                <w:szCs w:val="20"/>
                <w:color w:val="auto"/>
              </w:rPr>
            </w:pPr>
            <w:r>
              <w:rPr>
                <w:rFonts w:ascii="Times New Roman" w:cs="Times New Roman" w:eastAsia="Times New Roman" w:hAnsi="Times New Roman"/>
                <w:sz w:val="14"/>
                <w:szCs w:val="14"/>
                <w:color w:val="auto"/>
                <w:w w:val="98"/>
              </w:rPr>
              <w:t>(Address of principal executive office) (Zip Code)</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7760" w:type="dxa"/>
            <w:vAlign w:val="bottom"/>
            <w:gridSpan w:val="5"/>
          </w:tcPr>
          <w:p>
            <w:pPr>
              <w:jc w:val="center"/>
              <w:ind w:right="3271"/>
              <w:spacing w:after="0"/>
              <w:rPr>
                <w:sz w:val="20"/>
                <w:szCs w:val="20"/>
                <w:color w:val="auto"/>
              </w:rPr>
            </w:pPr>
            <w:r>
              <w:rPr>
                <w:rFonts w:ascii="Times New Roman" w:cs="Times New Roman" w:eastAsia="Times New Roman" w:hAnsi="Times New Roman"/>
                <w:sz w:val="14"/>
                <w:szCs w:val="14"/>
                <w:color w:val="auto"/>
                <w:w w:val="97"/>
              </w:rPr>
              <w:t>Registrant’s telephone number, including area code:</w:t>
            </w:r>
          </w:p>
        </w:tc>
        <w:tc>
          <w:tcPr>
            <w:tcW w:w="0" w:type="dxa"/>
            <w:vAlign w:val="bottom"/>
          </w:tcPr>
          <w:p>
            <w:pPr>
              <w:spacing w:after="0"/>
              <w:rPr>
                <w:sz w:val="1"/>
                <w:szCs w:val="1"/>
                <w:color w:val="auto"/>
              </w:rPr>
            </w:pPr>
          </w:p>
        </w:tc>
      </w:tr>
      <w:tr>
        <w:trPr>
          <w:trHeight w:val="159"/>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00" w:type="dxa"/>
            <w:vAlign w:val="bottom"/>
            <w:gridSpan w:val="3"/>
          </w:tcPr>
          <w:p>
            <w:pPr>
              <w:jc w:val="center"/>
              <w:ind w:left="1233"/>
              <w:spacing w:after="0"/>
              <w:rPr>
                <w:sz w:val="20"/>
                <w:szCs w:val="20"/>
                <w:color w:val="auto"/>
              </w:rPr>
            </w:pPr>
            <w:r>
              <w:rPr>
                <w:rFonts w:ascii="Times New Roman" w:cs="Times New Roman" w:eastAsia="Times New Roman" w:hAnsi="Times New Roman"/>
                <w:sz w:val="12"/>
                <w:szCs w:val="12"/>
                <w:b w:val="1"/>
                <w:bCs w:val="1"/>
                <w:color w:val="auto"/>
              </w:rPr>
              <w:t>(734) 887-3903</w:t>
            </w:r>
          </w:p>
        </w:tc>
        <w:tc>
          <w:tcPr>
            <w:tcW w:w="4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3340" w:type="dxa"/>
            <w:vAlign w:val="bottom"/>
          </w:tcPr>
          <w:p>
            <w:pPr>
              <w:jc w:val="center"/>
              <w:ind w:left="791"/>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34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w w:val="97"/>
              </w:rPr>
              <w:t>Common Stock, $0.001 par value</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ESPR</w:t>
            </w:r>
          </w:p>
        </w:tc>
        <w:tc>
          <w:tcPr>
            <w:tcW w:w="400" w:type="dxa"/>
            <w:vAlign w:val="bottom"/>
          </w:tcPr>
          <w:p>
            <w:pPr>
              <w:spacing w:after="0"/>
              <w:rPr>
                <w:sz w:val="14"/>
                <w:szCs w:val="1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0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w:t>
      </w:r>
    </w:p>
    <w:p>
      <w:pPr>
        <w:spacing w:after="0" w:line="3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w:t>
      </w:r>
    </w:p>
    <w:p>
      <w:pPr>
        <w:spacing w:after="0" w:line="5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p>
      <w:pPr>
        <w:ind w:left="80"/>
        <w:spacing w:after="0" w:line="161" w:lineRule="exact"/>
        <w:tabs>
          <w:tab w:leader="none" w:pos="1720" w:val="left"/>
          <w:tab w:leader="none" w:pos="3020" w:val="left"/>
          <w:tab w:leader="none" w:pos="4640" w:val="left"/>
          <w:tab w:leader="none" w:pos="5940" w:val="left"/>
          <w:tab w:leader="none" w:pos="7560" w:val="left"/>
          <w:tab w:leader="none" w:pos="8860" w:val="left"/>
          <w:tab w:leader="none" w:pos="10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1"/>
          <w:szCs w:val="11"/>
          <w:color w:val="auto"/>
        </w:rPr>
        <w:t>☒</w:t>
      </w:r>
    </w:p>
    <w:p>
      <w:pPr>
        <w:spacing w:after="0" w:line="65" w:lineRule="exact"/>
        <w:rPr>
          <w:sz w:val="24"/>
          <w:szCs w:val="24"/>
          <w:color w:val="auto"/>
        </w:rPr>
      </w:pPr>
    </w:p>
    <w:p>
      <w:pPr>
        <w:ind w:left="8880"/>
        <w:spacing w:after="0" w:line="161" w:lineRule="exact"/>
        <w:tabs>
          <w:tab w:leader="none" w:pos="109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1"/>
          <w:szCs w:val="11"/>
          <w:color w:val="auto"/>
        </w:rPr>
        <w:t>☐</w:t>
      </w:r>
    </w:p>
    <w:p>
      <w:pPr>
        <w:spacing w:after="0" w:line="83" w:lineRule="exact"/>
        <w:rPr>
          <w:sz w:val="24"/>
          <w:szCs w:val="24"/>
          <w:color w:val="auto"/>
        </w:rPr>
      </w:pPr>
    </w:p>
    <w:p>
      <w:pPr>
        <w:ind w:right="48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0"/>
        <w:spacing w:after="0" w:line="168"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 w:lineRule="exact"/>
        <w:rPr>
          <w:sz w:val="24"/>
          <w:szCs w:val="24"/>
          <w:color w:val="auto"/>
        </w:rPr>
      </w:pPr>
    </w:p>
    <w:p>
      <w:pPr>
        <w:ind w:right="300"/>
        <w:spacing w:after="0" w:line="183"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ind w:right="460"/>
        <w:spacing w:after="0" w:line="245"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on June 30, 2025, based upon the closing price of $0.98 of the registrant’s common stock as reported on the NASDAQ Global Market as of June 30, 2025 (the last business day of the registrant's most recently completed second fiscal quarter), was approximately $198.2 million. For purposes of foregoing calculation only, all directors and executive officers of the registrants are assumed to be affiliates of the registrant. This determination of affiliate status is not a determination for other purposes. As of March 1, 2026, there were 256,810,482 shares of the registrant’s common stock, $0.001 par value per share, outstanding.</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55" w:lineRule="exact"/>
        <w:rPr>
          <w:sz w:val="24"/>
          <w:szCs w:val="24"/>
          <w:color w:val="auto"/>
        </w:rPr>
      </w:pPr>
    </w:p>
    <w:p>
      <w:pPr>
        <w:ind w:right="160"/>
        <w:spacing w:after="0" w:line="276" w:lineRule="auto"/>
        <w:rPr>
          <w:sz w:val="20"/>
          <w:szCs w:val="20"/>
          <w:color w:val="auto"/>
        </w:rPr>
      </w:pPr>
      <w:r>
        <w:rPr>
          <w:rFonts w:ascii="Times New Roman" w:cs="Times New Roman" w:eastAsia="Times New Roman" w:hAnsi="Times New Roman"/>
          <w:sz w:val="14"/>
          <w:szCs w:val="14"/>
          <w:color w:val="auto"/>
        </w:rPr>
        <w:t>Part III of this Annual Report on Form 10-K incorporates by reference information from the registrant's definitive Proxy Statement for its 2026 Annual Meeting of Stockholders, which is expected to be filed with the Securities and Exchange Commission not later than 120 days after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478790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32385</wp:posOffset>
            </wp:positionV>
            <wp:extent cx="706437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4375" cy="16510"/>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7620</wp:posOffset>
            </wp:positionV>
            <wp:extent cx="7064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2"/>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15"/>
          </w:tcPr>
          <w:p>
            <w:pPr>
              <w:jc w:val="center"/>
              <w:ind w:right="36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2"/>
            <w:vMerge w:val="restart"/>
          </w:tcPr>
          <w:p>
            <w:pPr>
              <w:jc w:val="center"/>
              <w:ind w:right="4340"/>
              <w:spacing w:after="0"/>
              <w:rPr>
                <w:sz w:val="20"/>
                <w:szCs w:val="20"/>
                <w:color w:val="auto"/>
              </w:rPr>
            </w:pPr>
            <w:r>
              <w:rPr>
                <w:rFonts w:ascii="Times New Roman" w:cs="Times New Roman" w:eastAsia="Times New Roman" w:hAnsi="Times New Roman"/>
                <w:sz w:val="17"/>
                <w:szCs w:val="17"/>
                <w:b w:val="1"/>
                <w:bCs w:val="1"/>
                <w:color w:val="0000FF"/>
                <w:w w:val="97"/>
              </w:rPr>
              <w:t>PART I</w:t>
            </w: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12"/>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w:t>
            </w:r>
          </w:p>
        </w:tc>
        <w:tc>
          <w:tcPr>
            <w:tcW w:w="160" w:type="dxa"/>
            <w:vAlign w:val="bottom"/>
          </w:tcPr>
          <w:p>
            <w:pPr>
              <w:spacing w:after="0"/>
              <w:rPr>
                <w:sz w:val="17"/>
                <w:szCs w:val="17"/>
                <w:color w:val="auto"/>
              </w:rPr>
            </w:pPr>
          </w:p>
        </w:tc>
        <w:tc>
          <w:tcPr>
            <w:tcW w:w="39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Business</w:t>
            </w:r>
          </w:p>
        </w:tc>
        <w:tc>
          <w:tcPr>
            <w:tcW w:w="560" w:type="dxa"/>
            <w:vAlign w:val="bottom"/>
            <w:tcBorders>
              <w:top w:val="single" w:sz="8" w:color="0000FF"/>
            </w:tcBorders>
            <w:gridSpan w:val="2"/>
          </w:tcPr>
          <w:p>
            <w:pPr>
              <w:spacing w:after="0"/>
              <w:rPr>
                <w:sz w:val="17"/>
                <w:szCs w:val="17"/>
                <w:color w:val="auto"/>
              </w:rPr>
            </w:pPr>
          </w:p>
        </w:tc>
        <w:tc>
          <w:tcPr>
            <w:tcW w:w="4380" w:type="dxa"/>
            <w:vAlign w:val="bottom"/>
            <w:gridSpan w:val="9"/>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8060" w:type="dxa"/>
            <w:vAlign w:val="bottom"/>
            <w:gridSpan w:val="24"/>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1B.</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1C.</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7960" w:type="dxa"/>
            <w:vAlign w:val="bottom"/>
            <w:gridSpan w:val="23"/>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3.</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4.</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2"/>
          </w:tcPr>
          <w:p>
            <w:pPr>
              <w:jc w:val="center"/>
              <w:ind w:right="4360"/>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5.</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6.</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7.</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Item 7A.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800" w:type="dxa"/>
            <w:vAlign w:val="bottom"/>
            <w:gridSpan w:val="10"/>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8.</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9.</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Item 9A.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9B.</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240" w:type="dxa"/>
            <w:vAlign w:val="bottom"/>
            <w:gridSpan w:val="20"/>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9C.</w:t>
            </w:r>
          </w:p>
        </w:tc>
        <w:tc>
          <w:tcPr>
            <w:tcW w:w="160" w:type="dxa"/>
            <w:vAlign w:val="bottom"/>
          </w:tcPr>
          <w:p>
            <w:pPr>
              <w:spacing w:after="0"/>
              <w:rPr>
                <w:sz w:val="19"/>
                <w:szCs w:val="19"/>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720" w:type="dxa"/>
            <w:vAlign w:val="bottom"/>
            <w:tcBorders>
              <w:top w:val="single" w:sz="8" w:color="0000FF"/>
              <w:bottom w:val="single" w:sz="8" w:color="0000FF"/>
            </w:tcBorders>
            <w:gridSpan w:val="8"/>
          </w:tcPr>
          <w:p>
            <w:pPr>
              <w:jc w:val="center"/>
              <w:ind w:right="20"/>
              <w:spacing w:after="0" w:line="180" w:lineRule="exact"/>
              <w:rPr>
                <w:sz w:val="20"/>
                <w:szCs w:val="20"/>
                <w:color w:val="auto"/>
              </w:rPr>
            </w:pPr>
            <w:r>
              <w:rPr>
                <w:rFonts w:ascii="Times New Roman" w:cs="Times New Roman" w:eastAsia="Times New Roman" w:hAnsi="Times New Roman"/>
                <w:sz w:val="17"/>
                <w:szCs w:val="17"/>
                <w:b w:val="1"/>
                <w:bCs w:val="1"/>
                <w:color w:val="0000FF"/>
                <w:w w:val="99"/>
              </w:rPr>
              <w:t>PART III</w:t>
            </w:r>
          </w:p>
        </w:tc>
        <w:tc>
          <w:tcPr>
            <w:tcW w:w="60" w:type="dxa"/>
            <w:vAlign w:val="bottom"/>
            <w:tcBorders>
              <w:top w:val="single" w:sz="8" w:color="0000FF"/>
            </w:tcBorders>
          </w:tcPr>
          <w:p>
            <w:pPr>
              <w:spacing w:after="0"/>
              <w:rPr>
                <w:sz w:val="15"/>
                <w:szCs w:val="15"/>
                <w:color w:val="auto"/>
              </w:rPr>
            </w:pPr>
          </w:p>
        </w:tc>
        <w:tc>
          <w:tcPr>
            <w:tcW w:w="424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10.</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4980" w:type="dxa"/>
            <w:vAlign w:val="bottom"/>
            <w:gridSpan w:val="12"/>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11.</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Item 12.</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13.</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9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960" w:type="dxa"/>
            <w:vAlign w:val="bottom"/>
            <w:gridSpan w:val="2"/>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14.</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52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3720" w:type="dxa"/>
            <w:vAlign w:val="bottom"/>
            <w:gridSpan w:val="4"/>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20" w:type="dxa"/>
            <w:vAlign w:val="bottom"/>
            <w:gridSpan w:val="14"/>
          </w:tcPr>
          <w:p>
            <w:pPr>
              <w:jc w:val="center"/>
              <w:ind w:right="4320"/>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15.</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900" w:type="dxa"/>
            <w:vAlign w:val="bottom"/>
            <w:gridSpan w:val="3"/>
          </w:tcPr>
          <w:p>
            <w:pPr>
              <w:spacing w:after="0"/>
              <w:rPr>
                <w:sz w:val="17"/>
                <w:szCs w:val="17"/>
                <w:color w:val="auto"/>
              </w:rPr>
            </w:pPr>
          </w:p>
        </w:tc>
        <w:tc>
          <w:tcPr>
            <w:tcW w:w="680" w:type="dxa"/>
            <w:vAlign w:val="bottom"/>
            <w:tcBorders>
              <w:top w:val="single" w:sz="8" w:color="0000FF"/>
            </w:tcBorders>
            <w:gridSpan w:val="6"/>
          </w:tcPr>
          <w:p>
            <w:pPr>
              <w:spacing w:after="0"/>
              <w:rPr>
                <w:sz w:val="17"/>
                <w:szCs w:val="17"/>
                <w:color w:val="auto"/>
              </w:rPr>
            </w:pPr>
          </w:p>
        </w:tc>
        <w:tc>
          <w:tcPr>
            <w:tcW w:w="4320" w:type="dxa"/>
            <w:vAlign w:val="bottom"/>
            <w:gridSpan w:val="7"/>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16.</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Form 10-K Summary</w:t>
            </w:r>
          </w:p>
        </w:tc>
        <w:tc>
          <w:tcPr>
            <w:tcW w:w="7440" w:type="dxa"/>
            <w:vAlign w:val="bottom"/>
            <w:gridSpan w:val="21"/>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7"/>
              </w:rPr>
              <w:t>Signatures</w:t>
            </w:r>
          </w:p>
        </w:tc>
        <w:tc>
          <w:tcPr>
            <w:tcW w:w="8200" w:type="dxa"/>
            <w:vAlign w:val="bottom"/>
            <w:gridSpan w:val="25"/>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Annual Report on Form 10-K.</w:t>
      </w:r>
    </w:p>
    <w:p>
      <w:pPr>
        <w:spacing w:after="0" w:line="20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We use various trademarks and trade names in our business, including without limitation our corporate name and logo. This Annual Report on Form 10-K may also contain trademarks, service marks and trade names of third parties, which are the property of their respective owners. Our use or display of third parties’ trademarks, service marks, trade names or products in this Annual Report on Form 10-K is not intended to, and does not imply a relationship with, or endorsement or sponsorship by us. Solely for convenience, the trademarks and trade names in this Annual Report on Form 10-K may be referred to without the ® and ™ symbols, but the omission of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Material Risks Associated with Our Business</w:t>
      </w:r>
    </w:p>
    <w:p>
      <w:pPr>
        <w:spacing w:after="0" w:line="222"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that you should be aware of before making an investment decision, including those highlighted in the section entitled “Risk Factors.” These risks include, but are not limited to, the following:</w:t>
      </w:r>
    </w:p>
    <w:p>
      <w:pPr>
        <w:spacing w:after="0" w:line="151" w:lineRule="exact"/>
        <w:rPr>
          <w:sz w:val="20"/>
          <w:szCs w:val="20"/>
          <w:color w:val="auto"/>
        </w:rPr>
      </w:pPr>
    </w:p>
    <w:p>
      <w:pPr>
        <w:ind w:left="620" w:right="120" w:hanging="307"/>
        <w:spacing w:after="0" w:line="265"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almost entirely on the success of two products, the bempedoic acid tablet and the bempedoic acid / ezetimibe combination tablet. There is no assurance that our continued commercialization efforts in the U.S. and our partner's efforts, including Daiichi Sankyo Europe GmbH, or DSE, Otsuka Pharmaceutical Co., Ltd., or Otsuka, and Daiichi Sankyo Co. Ltd, or DS, with respect to either product will be successful or that we will be able to generate revenues at the levels or within the timing we expect or at the levels or within the timing necessary to support our corporate goals.</w:t>
      </w:r>
    </w:p>
    <w:p>
      <w:pPr>
        <w:spacing w:after="0" w:line="170"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operating history as a commercial company and limited experience in the marketing and sale of NEXLETOL® (bempedoic acid) tablet and NEXLIZET® (bempedoic acid and ezetimibe) tablet in the U.S.</w:t>
      </w:r>
    </w:p>
    <w:p>
      <w:pPr>
        <w:spacing w:after="0" w:line="151" w:lineRule="exact"/>
        <w:rPr>
          <w:rFonts w:ascii="Times New Roman" w:cs="Times New Roman" w:eastAsia="Times New Roman" w:hAnsi="Times New Roman"/>
          <w:sz w:val="17"/>
          <w:szCs w:val="17"/>
          <w:color w:val="auto"/>
        </w:rPr>
      </w:pPr>
    </w:p>
    <w:p>
      <w:pPr>
        <w:ind w:left="620" w:right="78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approved drugs, and of any future approved drugs, will depend upon, among other things, the degree of market acceptance by physicians, patients, third-party payers, and others in the medical community</w:t>
      </w:r>
    </w:p>
    <w:p>
      <w:pPr>
        <w:spacing w:after="0" w:line="151" w:lineRule="exact"/>
        <w:rPr>
          <w:rFonts w:ascii="Times New Roman" w:cs="Times New Roman" w:eastAsia="Times New Roman" w:hAnsi="Times New Roman"/>
          <w:sz w:val="17"/>
          <w:szCs w:val="17"/>
          <w:color w:val="auto"/>
        </w:rPr>
      </w:pPr>
    </w:p>
    <w:p>
      <w:pPr>
        <w:ind w:left="620" w:right="46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or maintain adequate coverage and reimbursement for new or current products could limit our ability to market those products and decrease our ability to generate revenue.</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substantial additional capital in the future. If additional capital is not available, we will have to delay, reduce or cease operations.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never achieve or maintain profitability.</w:t>
      </w:r>
    </w:p>
    <w:p>
      <w:pPr>
        <w:spacing w:after="0" w:line="217" w:lineRule="exact"/>
        <w:rPr>
          <w:rFonts w:ascii="Times New Roman" w:cs="Times New Roman" w:eastAsia="Times New Roman" w:hAnsi="Times New Roman"/>
          <w:sz w:val="17"/>
          <w:szCs w:val="17"/>
          <w:color w:val="auto"/>
        </w:rPr>
      </w:pPr>
    </w:p>
    <w:p>
      <w:pPr>
        <w:jc w:val="both"/>
        <w:ind w:left="620" w:right="520" w:hanging="307"/>
        <w:spacing w:after="0" w:line="270"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167"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Recently enacted and future legislation may increase the difficulty and cost for us to obtain marketing approval of and commercialize our drug candidates and may decrease the prices we may obtain for our approved drugs.</w:t>
      </w:r>
    </w:p>
    <w:p>
      <w:pPr>
        <w:spacing w:after="0" w:line="138" w:lineRule="exact"/>
        <w:rPr>
          <w:rFonts w:ascii="Times New Roman" w:cs="Times New Roman" w:eastAsia="Times New Roman" w:hAnsi="Times New Roman"/>
          <w:sz w:val="17"/>
          <w:szCs w:val="17"/>
          <w:color w:val="auto"/>
        </w:rPr>
      </w:pPr>
    </w:p>
    <w:p>
      <w:pPr>
        <w:ind w:left="620" w:hanging="307"/>
        <w:spacing w:after="0"/>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obtained regulatory approval from the U.S. Food and Drug Administration, or FDA, the European Commission (which, with respect to the United Kingdom, or UK, has been converted to a UK marketing authorization), and the Swiss Agency for Therapeutic Products, or Swissmedic, for both of our leading products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 We cannot be certain that we will be able to obtain approval for these expanded indications from regulatory authorities in other territories we or our ex-U.S. commercial partners decide to pursue, or successfully commercialize our products and any future product candidates in any territories. Additionally, we cannot be certain that we will be able to obtain approval of either of our products for any other indication or approval of any future product candidates.</w:t>
      </w:r>
    </w:p>
    <w:p>
      <w:pPr>
        <w:spacing w:after="0" w:line="178" w:lineRule="exact"/>
        <w:rPr>
          <w:rFonts w:ascii="Times New Roman" w:cs="Times New Roman" w:eastAsia="Times New Roman" w:hAnsi="Times New Roman"/>
          <w:sz w:val="17"/>
          <w:szCs w:val="17"/>
          <w:color w:val="auto"/>
        </w:rPr>
      </w:pPr>
    </w:p>
    <w:p>
      <w:pPr>
        <w:ind w:left="620" w:right="60" w:hanging="307"/>
        <w:spacing w:after="0" w:line="249"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approved drugs and any drug candidates for which we obtain marketing approval will be subject to ongoing enforcement of post-marketing requirements and we could be subject to substantial penalties, including withdrawal of our approved drugs or any future approved products from the market, if we fail to comply with all regulatory requirements or if we experience unanticipated problems with our approved drugs or any future approved products, when and if any of them are approved.</w:t>
      </w:r>
    </w:p>
    <w:p>
      <w:pPr>
        <w:spacing w:after="0" w:line="183" w:lineRule="exact"/>
        <w:rPr>
          <w:rFonts w:ascii="Times New Roman" w:cs="Times New Roman" w:eastAsia="Times New Roman" w:hAnsi="Times New Roman"/>
          <w:sz w:val="17"/>
          <w:szCs w:val="17"/>
          <w:color w:val="auto"/>
        </w:rPr>
      </w:pPr>
    </w:p>
    <w:p>
      <w:pPr>
        <w:ind w:left="620" w:hanging="307"/>
        <w:spacing w:after="0" w:line="265"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pharmaceutical products is complex and subject to product loss for a variety of reasons. We contract with third parties for the manufacture of the bempedoic acid tablet and the bempedoic acid / ezetimibe combination tablet for commercialization and clinical trials.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140" w:hanging="307"/>
        <w:spacing w:after="0" w:line="288"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adequately prevent disclosure of trade secrets and other proprietary information, the value of our technology and products could be significantly diminished.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debt may require a significant amount of cash. If such cash is not available, we will have to delay, reduce or cease operations.</w:t>
      </w:r>
    </w:p>
    <w:p>
      <w:pPr>
        <w:spacing w:after="0" w:line="217" w:lineRule="exact"/>
        <w:rPr>
          <w:rFonts w:ascii="Times New Roman" w:cs="Times New Roman" w:eastAsia="Times New Roman" w:hAnsi="Times New Roman"/>
          <w:sz w:val="17"/>
          <w:szCs w:val="17"/>
          <w:color w:val="auto"/>
        </w:rPr>
      </w:pPr>
    </w:p>
    <w:p>
      <w:pPr>
        <w:ind w:left="620" w:right="640" w:hanging="307"/>
        <w:spacing w:after="0" w:line="270"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relationships with customers and third-party payors are subject to applicable anti-kickback, fraud and abuse, and other healthcare laws and regulations, and health information privacy and security laws, which could expose us to criminal sanctions, civil penalties, contractual damages, reputational harm, and diminished profits and future earnings.</w:t>
      </w:r>
    </w:p>
    <w:p>
      <w:pPr>
        <w:spacing w:after="0" w:line="167"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cannot be certain whether or when we will consummate our pending acquisition with Corstasis Therapeutics Inc., or if such acquisition does close, when or if, or the extent to which, we will recognize the anticipated benefits of that acquisition. It is possible that we may have difficulty integrating the operations of Corstasis or any other business we may acquire in the future,</w:t>
      </w:r>
    </w:p>
    <w:p>
      <w:pPr>
        <w:spacing w:after="0" w:line="16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at an increased risk of securities class action litigation.</w:t>
      </w:r>
    </w:p>
    <w:p>
      <w:pPr>
        <w:spacing w:after="0" w:line="2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Securities and Exchange Commission, or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3"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7" w:lineRule="exact"/>
        <w:rPr>
          <w:sz w:val="20"/>
          <w:szCs w:val="20"/>
          <w:color w:val="auto"/>
        </w:rPr>
      </w:pPr>
    </w:p>
    <w:p>
      <w:pPr>
        <w:ind w:left="620" w:right="1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NEXLETOL® (bempedoic acid) tablet and NEXLIZET® (bempedoic acid and ezetimibe) tablet in the United States and any other jurisdictions where we or our ex-U.S. partners may receive marketing approval in the future;</w:t>
      </w:r>
    </w:p>
    <w:p>
      <w:pPr>
        <w:spacing w:after="0" w:line="151" w:lineRule="exact"/>
        <w:rPr>
          <w:rFonts w:ascii="Times New Roman" w:cs="Times New Roman" w:eastAsia="Times New Roman" w:hAnsi="Times New Roman"/>
          <w:sz w:val="17"/>
          <w:szCs w:val="17"/>
          <w:color w:val="auto"/>
        </w:rPr>
      </w:pPr>
    </w:p>
    <w:p>
      <w:pPr>
        <w:ind w:left="620" w:right="160" w:hanging="307"/>
        <w:spacing w:after="0" w:line="26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timeline to obtain and maintain regulatory approval for our approved drugs or obtain and maintain regulatory approval for any of our current or future drug candidates, and any related restrictions, limitations, and/or warnings in the labels of NEXLETOL, NEXLIZET, NILEMDO® (bempedoic acid) tablet and NUSTENDI® (bempedoic acid and ezetimibe) tablet, or any of our current or future drug candidates that may receive marketing approval;</w:t>
      </w:r>
    </w:p>
    <w:p>
      <w:pPr>
        <w:spacing w:after="0" w:line="17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for our approved drugs or any current or future drug candidate for which we may receive marketing approval;</w:t>
      </w:r>
    </w:p>
    <w:p>
      <w:pPr>
        <w:spacing w:after="0" w:line="217" w:lineRule="exact"/>
        <w:rPr>
          <w:rFonts w:ascii="Times New Roman" w:cs="Times New Roman" w:eastAsia="Times New Roman" w:hAnsi="Times New Roman"/>
          <w:sz w:val="17"/>
          <w:szCs w:val="17"/>
          <w:color w:val="auto"/>
        </w:rPr>
      </w:pPr>
    </w:p>
    <w:p>
      <w:pPr>
        <w:ind w:left="620" w:right="2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plans in managing our commercial infrastructure and successfully launch, market, and sell our approved drugs and any current or future drug candidate (or additional indications) for which we may receive marketing approval;</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clinical, regulatory or commercial milestones with our existing cash resources;</w:t>
      </w:r>
    </w:p>
    <w:p>
      <w:pPr>
        <w:spacing w:after="0" w:line="217"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applicable milestone payments from our partners and generate additional revenue as a result of the expanded indications for our products;</w:t>
      </w:r>
    </w:p>
    <w:p>
      <w:pPr>
        <w:spacing w:after="0" w:line="151" w:lineRule="exact"/>
        <w:rPr>
          <w:rFonts w:ascii="Times New Roman" w:cs="Times New Roman" w:eastAsia="Times New Roman" w:hAnsi="Times New Roman"/>
          <w:sz w:val="17"/>
          <w:szCs w:val="17"/>
          <w:color w:val="auto"/>
        </w:rPr>
      </w:pPr>
    </w:p>
    <w:p>
      <w:pPr>
        <w:ind w:left="620" w:right="48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intended benefits of the commercial collaboration and license arrangements with DSE, Otsuka, DS, and our other partners, including receiving potential milestone or royalty payments from collaboration partners;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replicate positive results from a completed clinical study in a future clinical study;</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effectiveness or safety of bempedoic acid and the bempedoic acid / ezetimibe combination tablet, as compared to statins and other low density lipoprotein cholesterol, or LDL-C, or cardiovascular risk lowering therapies, either those currently available or those in development;</w:t>
      </w:r>
    </w:p>
    <w:p>
      <w:pPr>
        <w:spacing w:after="0" w:line="151"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and adhere to changes in regulatory requirements, including any requirement to conduct additional, unplanned clinical studies of bempedoic acid and the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guidelines relating to LDL-C levels and cardiovascular risk that are generally accepted within the medical community, including recent changes and any future changes to such guidelines;</w:t>
      </w:r>
    </w:p>
    <w:p>
      <w:pPr>
        <w:spacing w:after="0" w:line="151" w:lineRule="exact"/>
        <w:rPr>
          <w:rFonts w:ascii="Times New Roman" w:cs="Times New Roman" w:eastAsia="Times New Roman" w:hAnsi="Times New Roman"/>
          <w:sz w:val="17"/>
          <w:szCs w:val="17"/>
          <w:color w:val="auto"/>
        </w:rPr>
      </w:pPr>
    </w:p>
    <w:p>
      <w:pPr>
        <w:ind w:left="620" w:right="14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policies, including any future changes to such policies or related legislative, executive, or administrative actions, and their impact on our ability to market, distribute and obtain payment for bempedoic acid and the bempedoic acid / ezetimibe combination tablet in the United States and in Europe, and in other territories;</w:t>
      </w:r>
    </w:p>
    <w:p>
      <w:pPr>
        <w:spacing w:after="0" w:line="167"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of the size and growth potential of the LDL-C and cardiovascular risk lowering markets and the rate and degree of bempedoic acid and the bempedoic acid / ezetimibe combination tablet's market acceptance in the United States and in Europe, and in other territories;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4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healthcare laws and regulations in the U.S. and any foreign countries, including, without limitation, those applying to the marketing and sale of commercial drugs;</w:t>
      </w:r>
    </w:p>
    <w:p>
      <w:pPr>
        <w:spacing w:after="0" w:line="151" w:lineRule="exact"/>
        <w:rPr>
          <w:rFonts w:ascii="Times New Roman" w:cs="Times New Roman" w:eastAsia="Times New Roman" w:hAnsi="Times New Roman"/>
          <w:sz w:val="17"/>
          <w:szCs w:val="17"/>
          <w:color w:val="auto"/>
        </w:rPr>
      </w:pPr>
    </w:p>
    <w:p>
      <w:pPr>
        <w:ind w:left="620" w:right="38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intellectual property protection for bempedoic acid and the bempedoic acid / ezetimibe combination tablet without infringing on the intellectual property rights of others in the U.S., Europe and other territories;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personnel, including scientific, clinical, commercial or management personnel;</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 and ability to establish strategic relationships or partnerships, as needed;</w:t>
      </w:r>
    </w:p>
    <w:p>
      <w:pPr>
        <w:spacing w:after="0" w:line="217"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our payment obligations under our credit agreement and to service the interest on our convertible notes and repay such notes, to the extent required;</w:t>
      </w:r>
    </w:p>
    <w:p>
      <w:pPr>
        <w:spacing w:after="0" w:line="151" w:lineRule="exact"/>
        <w:rPr>
          <w:rFonts w:ascii="Times New Roman" w:cs="Times New Roman" w:eastAsia="Times New Roman" w:hAnsi="Times New Roman"/>
          <w:sz w:val="17"/>
          <w:szCs w:val="17"/>
          <w:color w:val="auto"/>
        </w:rPr>
      </w:pPr>
    </w:p>
    <w:p>
      <w:pPr>
        <w:ind w:left="620" w:right="120" w:hanging="307"/>
        <w:spacing w:after="0" w:line="26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economic and geopolitical developments on our business, including economic slowdowns or recessions and market disruptions that may result from, among others, global conflicts, tariffs (including tariffs that have been or may in the future be imposed by the United Stated or other countries), sanctions, trade protection measures or other trade barriers (including further legislation or actions taken by the United States or other countries that restrict trade), trade protection measures, economic sanctions, an inflationary environment, which could harm our commercialization efforts, as well as the value of our common stock and our ability to access capital markets; and</w:t>
      </w:r>
    </w:p>
    <w:p>
      <w:pPr>
        <w:spacing w:after="0" w:line="173" w:lineRule="exact"/>
        <w:rPr>
          <w:rFonts w:ascii="Times New Roman" w:cs="Times New Roman" w:eastAsia="Times New Roman" w:hAnsi="Times New Roman"/>
          <w:sz w:val="17"/>
          <w:szCs w:val="17"/>
          <w:color w:val="auto"/>
        </w:rPr>
      </w:pPr>
    </w:p>
    <w:p>
      <w:pPr>
        <w:ind w:left="620" w:right="76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other companies that are, or may be, developing or selling products that may compete with bempedoic acid and the bempedoic acid / ezetimibe combination tablet, in the United States and in Europe, and in other territories.</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Item 1A.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This Annual Report on Form 10-K also contains estimates, projections and other information concerning our industry, our business and the markets for our products.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3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This Annual Report on Form 10-K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Annual Report. 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the context requires otherwise, references in this report to “Esperion” the “Company,” “we,” “us,” and “our” refer to Esperion Therapeutics,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Esperion is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or CVD and are struggling with elevated low -density lipoprotein cholesterol, or LDL-C. Through commercial execution, international partnerships and collaborations, and advancement of our pre-clinical pipeline, we continue to evolve into a leading global biopharmaceutical company.</w:t>
      </w:r>
    </w:p>
    <w:p>
      <w:pPr>
        <w:spacing w:after="0" w:line="19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Our lead products NEXLETOL® (bempedoic acid) tablets and NEXLIZET® (bempedoic acid and ezetimibe) tablets are oral, once-daily, non-statin medicines indicated to reduce the risk of myocardial infarction and coronary revascularization in adults who are unable or unwilling to take recommended statin therapy (including those not taking a statin) with established CVD, or at high risk for a CVD event but without established CVD, and to reduce LDL-C in adults with primary hyperlipidemia. Our products were approved by the FDA, European Commission, or EC (which, with respect to the UK, has been converted to a UK marketing authorization), and Swiss Agency for Therapeutic Products, or Swissmedic in 2020. The FDA approved expanded indications for NEXLETOL and NEXLIZET tablets in March 2024. The EC approved expanded indications for NILEMDO® (bempedoic acid) tablets and NUSTENDI® (bempedoic acid and ezetimibe) tablets in May 2024. Otsuka Pharmaceutical Co., Ltd., or Otsuka, our Japanese collaborator, received approval from the Japanese Ministry of Health, Labour and Welfare to market NEXLETOL as a treatment for hypercholesterolemia and familial hypercholesterolemia in September 2025, with National Health Insurance, or NHI, pricing received in the fourth quarter of 2025. We filed supplemental NDAs for product approvals in Canada in November 2024, with NEXLETOL receiving approval in the fourth quarter of 2025 and NEXLIZET approval expected in the first half of 2026. Our collaboration partners filed in Israel in March 2025, with expected approval in the first half of 2026, and in Australia in July 2025, with expected approval in the fourth quarter of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35"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We are focused on execution of our Vision 2040 roadmap by discovering, developing, and commercializing innovative medicines to help improve outcomes for patients. Our strategy for accomplishing this includes the following:</w:t>
      </w:r>
    </w:p>
    <w:p>
      <w:pPr>
        <w:spacing w:after="0" w:line="186" w:lineRule="exact"/>
        <w:rPr>
          <w:sz w:val="20"/>
          <w:szCs w:val="20"/>
          <w:color w:val="auto"/>
        </w:rPr>
      </w:pPr>
    </w:p>
    <w:p>
      <w:pPr>
        <w:ind w:left="620" w:right="480" w:hanging="307"/>
        <w:spacing w:after="0" w:line="25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Execution of our strategic commercialization plan in order to generate significant growth for our currently approved products. </w:t>
      </w:r>
      <w:r>
        <w:rPr>
          <w:rFonts w:ascii="Times New Roman" w:cs="Times New Roman" w:eastAsia="Times New Roman" w:hAnsi="Times New Roman"/>
          <w:sz w:val="17"/>
          <w:szCs w:val="17"/>
          <w:color w:val="auto"/>
        </w:rPr>
        <w:t>We expect our label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expansions and promotional efforts to unlock significant growth potential for NEXLETOL and NEXLIZET in the United States, with additional, commensurate growth potential in Europe and other territories driven by our partners efforts in those territories.</w:t>
      </w:r>
    </w:p>
    <w:p>
      <w:pPr>
        <w:spacing w:after="0" w:line="186" w:lineRule="exact"/>
        <w:rPr>
          <w:rFonts w:ascii="Times New Roman" w:cs="Times New Roman" w:eastAsia="Times New Roman" w:hAnsi="Times New Roman"/>
          <w:sz w:val="17"/>
          <w:szCs w:val="17"/>
          <w:color w:val="auto"/>
        </w:rPr>
      </w:pPr>
    </w:p>
    <w:p>
      <w:pPr>
        <w:ind w:left="620" w:right="40" w:hanging="307"/>
        <w:spacing w:after="0" w:line="261"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Continue to advance our preclinical pipeline. </w:t>
      </w:r>
      <w:r>
        <w:rPr>
          <w:rFonts w:ascii="Times New Roman" w:cs="Times New Roman" w:eastAsia="Times New Roman" w:hAnsi="Times New Roman"/>
          <w:sz w:val="17"/>
          <w:szCs w:val="17"/>
          <w:color w:val="auto"/>
        </w:rPr>
        <w:t>We are leveraging our existing research and development capabilities to advance and grow our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preclinical pipeline candidates, including next-generation ATP Citrate Lyase, or ACLY, inhibitors, which have potential for broad therapeutic application.</w:t>
      </w:r>
    </w:p>
    <w:p>
      <w:pPr>
        <w:spacing w:after="0" w:line="207" w:lineRule="exact"/>
        <w:rPr>
          <w:rFonts w:ascii="Times New Roman" w:cs="Times New Roman" w:eastAsia="Times New Roman" w:hAnsi="Times New Roman"/>
          <w:sz w:val="17"/>
          <w:szCs w:val="17"/>
          <w:color w:val="auto"/>
        </w:rPr>
      </w:pPr>
    </w:p>
    <w:p>
      <w:pPr>
        <w:ind w:left="620" w:right="400" w:hanging="307"/>
        <w:spacing w:after="0" w:line="224"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Broaden our company beyond the bempedoic acid franchise</w:t>
      </w:r>
      <w:r>
        <w:rPr>
          <w:rFonts w:ascii="Times New Roman" w:cs="Times New Roman" w:eastAsia="Times New Roman" w:hAnsi="Times New Roman"/>
          <w:sz w:val="17"/>
          <w:szCs w:val="17"/>
          <w:color w:val="auto"/>
        </w:rPr>
        <w:t>. We are engaging in business development activities to potentially leverage our existing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organization to help commercialize additional products in the United States.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Overview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NEXLETOL is a first-in-class ACLY inhibitor that lowers LDL-C and cardiovascular risk by reducing cholesterol biosynthesis and up-regulating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 unable to take statins and who had, or were at high risk for, CVD demonstrated on average a 20% placebo-corrected LDL-C reduction, and a resulting 13% lower risk of major cardiovascular events versus placebo. NEXLETOL was approved by the FDA in February 2020, with the label expanded to include an indication for cardiovascular risk reduction in March 2024, and received a subsequent update to the cardiovascular risk reduction indication in November 2025 to encompass all components of the primary composite endpoint from CLEAR Outcomes.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NEXLIZET contains bempedoic acid and ezetimibe and lowers elevated LDL-C through complementary mechanisms of action by inhibiting cholesterol synthesis in the liver and cholesterol absorption in the intestine. Phase 3 data demonstrated NEXLIZET lowered LDL-C by a mean of 38% compared to placebo when added on to maximally tolerated statins. NEXLIZET was approved by the FDA in February 2020, with the label expanded to include an indication for cardiovascular risk reduction in March 2024, and received a subsequent update to the cardiovascular risk reduction indication in November 2025 to encompass all components of the primary composite endpoint from CLEAR Outcomes.</w:t>
      </w:r>
    </w:p>
    <w:p>
      <w:pPr>
        <w:spacing w:after="0" w:line="17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NILEMDO is a first-in-class ACLY inhibitor that lowers LDL-C and cardiovascular risk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ASCVD.</w:t>
      </w:r>
    </w:p>
    <w:p>
      <w:pPr>
        <w:spacing w:after="0" w:line="1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NUSTENDI contains bempedoic acid and ezetimibe and lowers elevated LDL-C through complementary mechanisms of action by inhibiting cholesterol synthesis in the liver and cholesterol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 2024, the EC approved an expanded indication for NUSTENDI to reduce cardiovascular risk in patients with or at high risk for ASCVD.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Mechanism of Action</w:t>
      </w:r>
    </w:p>
    <w:p>
      <w:pPr>
        <w:spacing w:after="0" w:line="22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 xml:space="preserve">In November 2016, we announced the publication of “Liver-specific ACLY inhibition by bempedoic acid decreases LDL-C and attenuates atherosclerosis,” by Pinkosky et al., in </w:t>
      </w:r>
      <w:r>
        <w:rPr>
          <w:rFonts w:ascii="Times New Roman" w:cs="Times New Roman" w:eastAsia="Times New Roman" w:hAnsi="Times New Roman"/>
          <w:sz w:val="17"/>
          <w:szCs w:val="17"/>
          <w:i w:val="1"/>
          <w:iCs w:val="1"/>
          <w:color w:val="auto"/>
        </w:rPr>
        <w:t>Nature Communications</w:t>
      </w:r>
      <w:r>
        <w:rPr>
          <w:rFonts w:ascii="Times New Roman" w:cs="Times New Roman" w:eastAsia="Times New Roman" w:hAnsi="Times New Roman"/>
          <w:sz w:val="17"/>
          <w:szCs w:val="17"/>
          <w:color w:val="auto"/>
        </w:rPr>
        <w:t>. The paper outlines the experiments and analyses undertaken by us and our collaborators to understand the mechanism of action for how bempedoic acid reduces LDL-C, including its specificity for the liver. Bempedoic acid is an ACLY inhibitor that lowers LDL-C by inhibition of cholesterol synthesis in the liver. ACLY is an enzyme upstream of 3-hydroxy-3-methyl-glutaryl-coenzyme A, or HMG-CoA, reductase in the cholesterol biosynthesis pathway. Bempedoic acid and its active metabolite, ESP15228, require coenzyme A, or CoA, activation by very long-chain acyl-CoA synthetase 1, or ACSVL1, to ETC-1002-CoA and ESP15228-CoA, respectively. ACSVL1 is expressed primarily in the liver. Inhibition of ACL by ETC-1002-CoA results in decreased cholesterol synthesis in the liver and lowers LDL-C in blood via upregulation of low-density lipoprotein receptors.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Cardiovascular Outcomes Trial—CLEAR Outcomes</w:t>
      </w:r>
    </w:p>
    <w:p>
      <w:pPr>
        <w:spacing w:after="0" w:line="24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CLEAR Outcomes was a Phase 3 clinical study designed to evaluate if treatment with bempedoic acid reduces the risk of cardiovascular events in patients with statin intolerance who have CVD or are at high risk for CVD. We initiated CLEAR Outcomes in December 2016 and completed enrollment in August 2019. The primary endpoint of the study was the effect of bempedoic acid on the four-component MACE (cardiovascular death, non-fatal myocardial infarction, non-fatal stroke, or coronary revascularization.</w:t>
      </w:r>
    </w:p>
    <w:p>
      <w:pPr>
        <w:spacing w:after="0" w:line="19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study included nearly 14,000 patients from over 1,200 sites in 32 countries. Eligible patients at high risk for ASCVD (primary prevention) or with established ASCVD (secondary prevention), who were unable to take recommended statin therapy (including those not taking a statin), and with LDL-C ≥100 mg/dL, were randomized to receive bempedoic acid 180 mg once-daily by mouth or matching placebo. The median duration of follow-up was 3.4 years. The average LDL-C level at the start of the study was 139 mg/dL.</w:t>
      </w:r>
    </w:p>
    <w:p>
      <w:pPr>
        <w:spacing w:after="0" w:line="1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 xml:space="preserve">On December 7, 2022, we announced that the study had met its primary endpoint. On March 4, 2023, we announced the full results from the CLEAR Outcomes trial at the Scientific Sessions of the American College of Cardiology with a simultaneous publication in the </w:t>
      </w:r>
      <w:r>
        <w:rPr>
          <w:rFonts w:ascii="Times New Roman" w:cs="Times New Roman" w:eastAsia="Times New Roman" w:hAnsi="Times New Roman"/>
          <w:sz w:val="17"/>
          <w:szCs w:val="17"/>
          <w:i w:val="1"/>
          <w:iCs w:val="1"/>
          <w:color w:val="auto"/>
        </w:rPr>
        <w:t>New England Journal of Medicine (NEJM)</w:t>
      </w:r>
      <w:r>
        <w:rPr>
          <w:rFonts w:ascii="Times New Roman" w:cs="Times New Roman" w:eastAsia="Times New Roman" w:hAnsi="Times New Roman"/>
          <w:sz w:val="17"/>
          <w:szCs w:val="17"/>
          <w:color w:val="auto"/>
        </w:rPr>
        <w:t>. The study showed that bempedoic acid demonstrated a significant 13% cardiovascular risk reduction in MACE-4 events and significantly reduced the risk of heart attack by 23% and coronary revascularization by 19% as compared to placebo. These results were seen in a broad population of primary and secondary prevention patients who are unable to take recommended statin therapy. Furthermore, in several key prespecified subgroups, including females, persons of Hispanic ethnicity, those with diabetes, and those with obesity, the beneficial effects observed with bempedoic acid are consistent. The proportions of patients experiencing adverse events and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serious adverse events were similar between the active bempedoic acid and placebo treatment groups. Adverse events led to discontinuation of treatment in 11% of patients on bempedoic acid compared to 10% of patients on placebo. Adverse events occurring in greater than 2% of the study population and at least 0.5% more than placebo included hyperuricemia (18%), renal impairment (9%), anemia (4%), elevated liver enzymes (3%), muscle spasms (3%), gout (2%), and cholelithiasis (1%). We believe the risk of hyperuricemia and/or gout related to bempedoic acid use appeared to be attenuated by using uric acid lowering medications (such as allopurinol) and monitoring where clinically indicated. Bempedoic acid, contained in NEXLETOL® and NEXLIZET® (bempedoic acid and ezetimibe) tablets, became the first LDL-C lowering therapy since statins to demonstrate the ability to lower MACE in both primary and secondary prevention patients for whom limited therapies exist. When evaluating these results in the context of prior statin trials (based on the Cholesterol Treatment Trialists’, “CTT”, meta-analyses), when normalized to a 1.0 mmol/L (39 mg/dL) LDL-C reduction, the CV risk reduction with bempedoic acid shown via the CTT major vascular event endpoint is comparable to the normalized risk reduction observed with statin therapies. The ability of bempedoic acid to reduce MACE-4 events compared to placebo was not influenced by either the addition of other lipid lowering therapies (LLT) during the study (e.g., LLT cross-in) or the use of bempedoic acid alone (patients not on any other LLT at the time of the study entry).</w:t>
      </w:r>
    </w:p>
    <w:p>
      <w:pPr>
        <w:spacing w:after="0" w:line="204"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7"/>
          <w:szCs w:val="17"/>
          <w:color w:val="auto"/>
        </w:rPr>
        <w:t xml:space="preserve">On June 23, 2023, a prespecified analysis of the primary prevention population (30% of CLEAR Outcomes trial participants) was presented at the American Diabetes Association Scientific Sessions and simultaneously published in </w:t>
      </w:r>
      <w:r>
        <w:rPr>
          <w:rFonts w:ascii="Times New Roman" w:cs="Times New Roman" w:eastAsia="Times New Roman" w:hAnsi="Times New Roman"/>
          <w:sz w:val="17"/>
          <w:szCs w:val="17"/>
          <w:i w:val="1"/>
          <w:iCs w:val="1"/>
          <w:color w:val="auto"/>
        </w:rPr>
        <w:t>JAMA</w:t>
      </w:r>
      <w:r>
        <w:rPr>
          <w:rFonts w:ascii="Times New Roman" w:cs="Times New Roman" w:eastAsia="Times New Roman" w:hAnsi="Times New Roman"/>
          <w:sz w:val="17"/>
          <w:szCs w:val="17"/>
          <w:color w:val="auto"/>
        </w:rPr>
        <w:t xml:space="preserve"> (Journal of the American Medical Association). Results from this primary prevention analysis show a significant 30% reduction in cardiovascular risk in the primary prevention population making bempedoic acid the first LDL-C lowering therapy since statins to demonstrate cardiovascular risk reduction in a primary prevention population.</w:t>
      </w:r>
    </w:p>
    <w:p>
      <w:pPr>
        <w:spacing w:after="0" w:line="19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 xml:space="preserve">On August 26, 2023, a prespecified analysis of the total number of cardiovascular events in the CLEAR Outcomes trial population was presented at the European Society of Cardiology, or ESC, and subsequently published in </w:t>
      </w:r>
      <w:r>
        <w:rPr>
          <w:rFonts w:ascii="Times New Roman" w:cs="Times New Roman" w:eastAsia="Times New Roman" w:hAnsi="Times New Roman"/>
          <w:sz w:val="17"/>
          <w:szCs w:val="17"/>
          <w:i w:val="1"/>
          <w:iCs w:val="1"/>
          <w:color w:val="auto"/>
        </w:rPr>
        <w:t>JAMA Cardiology</w:t>
      </w:r>
      <w:r>
        <w:rPr>
          <w:rFonts w:ascii="Times New Roman" w:cs="Times New Roman" w:eastAsia="Times New Roman" w:hAnsi="Times New Roman"/>
          <w:sz w:val="17"/>
          <w:szCs w:val="17"/>
          <w:color w:val="auto"/>
        </w:rPr>
        <w:t>. The results reflect the impact of bempedoic acid on the total incidence of MACE, not just the first event. Treatment with bempedoic acid was associated with a risk reduction of 20% in total MACE-4 events (composite of MACE including non-fatal myocardial infarction, non-fatal stroke, coronary revascularization and cardiovascular death), 17% in total MACE-3 events (composite of MACE including non-fatal myocardial infarction, non-fatal stroke and cardiovascular death), 31% in total myocardial infarctions, and 22% in total coronary revascularizations. We believe these data reinforce the benefit of lowering LDL-C with bempedoic acid in high-risk patients, potentially preventing multiple events over time.</w:t>
      </w:r>
    </w:p>
    <w:p>
      <w:pPr>
        <w:spacing w:after="0" w:line="200" w:lineRule="exact"/>
        <w:rPr>
          <w:sz w:val="20"/>
          <w:szCs w:val="20"/>
          <w:color w:val="auto"/>
        </w:rPr>
      </w:pPr>
    </w:p>
    <w:p>
      <w:pPr>
        <w:spacing w:after="0" w:line="20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 xml:space="preserve">On August 26, 2023, a prespecified analysis of the CLEAR Outcomes trial population by patient diabetes status at enrollment (e.g., diabetes, prediabetes, normoglycemic) was presented at the ESC and subsequently published in </w:t>
      </w:r>
      <w:r>
        <w:rPr>
          <w:rFonts w:ascii="Times New Roman" w:cs="Times New Roman" w:eastAsia="Times New Roman" w:hAnsi="Times New Roman"/>
          <w:sz w:val="17"/>
          <w:szCs w:val="17"/>
          <w:i w:val="1"/>
          <w:iCs w:val="1"/>
          <w:color w:val="auto"/>
        </w:rPr>
        <w:t>The Lancet Diabetes and Endocrinology</w:t>
      </w:r>
      <w:r>
        <w:rPr>
          <w:rFonts w:ascii="Times New Roman" w:cs="Times New Roman" w:eastAsia="Times New Roman" w:hAnsi="Times New Roman"/>
          <w:sz w:val="17"/>
          <w:szCs w:val="17"/>
          <w:color w:val="auto"/>
        </w:rPr>
        <w:t>. Of the 13,970 patients included in CLEAR Outcomes, 45.6% had diabetes, 41.5% had pre-diabetes, and 12.9% were normoglycemic. Bempedoic acid demonstrated a benefit in patients with diabetes at baseline, showing a 17% reduction in cardiovascular risk. For patients without diabetes at enrollment, bempedoic acid use was not associated with an increased risk of new onset diabetes compared with placebo, which is a key differentiating feature compared to statins.</w:t>
      </w:r>
    </w:p>
    <w:p>
      <w:pPr>
        <w:spacing w:after="0" w:line="1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addition to the risk that diabetes itself contributes to ASCVD, patients with diabetes and peripheral artery disease are at a higher risk for CV events and peripheral vascular events, such as amputations. A post-hoc analysis of major adverse limb events (MALE) occurring during the CLEAR Outcomes study was presented at the AHA Scientific Sessions in November 2024 and identified a significant 36% relative risk reduction in MALE. These findings resulted in the inclusion of bempedoic acid as a first-line, evidence-based therapy for LDL-C lowering within the 2025 ACC Scientific Statement: Management of Peripheral Artery Disease in Adults with Diabetes. Other venous thromboembolic events (VTE) such as deep vein thrombosis and pulmonary embolism represent conditions that may also result in significant morbidity and death. Statin and PCSK9 inhibiting medication use is associated with reduced risk of VTE. A presentation of VTE risk in the CLEAR Outcomes population presented in November 2025 at the AHA Scientific Sessions showed a 42% relative risk reduction in VTE with the use of bempedoic acid verses placebo.</w:t>
      </w:r>
    </w:p>
    <w:p>
      <w:pPr>
        <w:spacing w:after="0" w:line="20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 xml:space="preserve">Along with the reduction in LDL-C seen with bempedoic acid in CLEAR Outcomes, bempedoic acid also reduced a key marker of inflammation, high sensitivity C-reactive protein (hsCRP), by nearly 22% compared to placebo. An analysis of hsCRP in CLEAR Outcomes was presented at the 2023 American Heart Association Scientific Session and subsequently published in </w:t>
      </w:r>
      <w:r>
        <w:rPr>
          <w:rFonts w:ascii="Times New Roman" w:cs="Times New Roman" w:eastAsia="Times New Roman" w:hAnsi="Times New Roman"/>
          <w:sz w:val="17"/>
          <w:szCs w:val="17"/>
          <w:i w:val="1"/>
          <w:iCs w:val="1"/>
          <w:color w:val="auto"/>
        </w:rPr>
        <w:t>Circulation</w:t>
      </w:r>
      <w:r>
        <w:rPr>
          <w:rFonts w:ascii="Times New Roman" w:cs="Times New Roman" w:eastAsia="Times New Roman" w:hAnsi="Times New Roman"/>
          <w:sz w:val="17"/>
          <w:szCs w:val="17"/>
          <w:color w:val="auto"/>
        </w:rPr>
        <w:t xml:space="preserve"> which showed a relationship between elevated levels of hsCRP and risks for cardiovascular events. Longer term inflammatory risk can also be assessed via red blood cell distribution width (RDW), which like hsCRP, is correlated to risk of cardiovascular events. Patients randomized to bempedoic acid exhibited lower RDW values over the course of CLEAR Outcomes compared with placebo. These data were presented at the European Society of Cardiology Congress 2024. Inflammation has garnered increasing attention recently as highlighted by a 2025 American College of Cardiology Scientific Statement detailing the role of inflammation in CVD. A greater adoption of screening for elevated hsCRP</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course of assessing cardiovascular risk presents an opportunity for the use of therapies with lower hsCRP irrespective of LDL-C levels.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Safety Profil</w:t>
      </w:r>
      <w:r>
        <w:rPr>
          <w:rFonts w:ascii="Times New Roman" w:cs="Times New Roman" w:eastAsia="Times New Roman" w:hAnsi="Times New Roman"/>
          <w:sz w:val="17"/>
          <w:szCs w:val="17"/>
          <w:color w:val="auto"/>
        </w:rPr>
        <w:t>e</w:t>
      </w:r>
    </w:p>
    <w:p>
      <w:pPr>
        <w:spacing w:after="0" w:line="2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 xml:space="preserve">The long-term safety profile of bempedoic acid from CLEAR Outcomes is reported in a 2024 publication in </w:t>
      </w:r>
      <w:r>
        <w:rPr>
          <w:rFonts w:ascii="Times New Roman" w:cs="Times New Roman" w:eastAsia="Times New Roman" w:hAnsi="Times New Roman"/>
          <w:sz w:val="17"/>
          <w:szCs w:val="17"/>
          <w:i w:val="1"/>
          <w:iCs w:val="1"/>
          <w:color w:val="auto"/>
        </w:rPr>
        <w:t>Journal of Clinical Lipidology</w:t>
      </w:r>
      <w:r>
        <w:rPr>
          <w:rFonts w:ascii="Times New Roman" w:cs="Times New Roman" w:eastAsia="Times New Roman" w:hAnsi="Times New Roman"/>
          <w:sz w:val="17"/>
          <w:szCs w:val="17"/>
          <w:color w:val="auto"/>
        </w:rPr>
        <w:t>, reflecting safety data over the median 3.4 years follow up. Bempedoic acid was generally well tolerated compared to placebo, reinforcing the positive risk to benefit profile of bempedoic acid. Importantly, select adverse events of concern were observed with similar incidences between bempedoic acid and placebo, including tendon rupture/tendinopathies, renal failure/acute kidney injury, new onset diabetes, and myalgia (muscle pain).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Next Generation ACLY inhibitors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ACLY is an enzyme strategically positioned at the intersection of nutrient catabolism and cholesterol and fatty acid biosynthesis. We are leading the investigation of ACLY biology, having brought the first ACLY inhibitor to the market. While preclinical studies and Mendelian randomized trials support a causal role for ACLY in dyslipidemia and ASCVD, they also suggest potential additional effects on metabolism that may benefit other disease states such as type 2 diabetes and metabolic dysfunction-associated steatotic liver disease (MASLD)/metabolic associated steatohepatitis (MASH). Furthermore, emerging evidence implicates ACLY as a key metabolic checkpoint utilized by multiple cell types to sense nutrient availability and coordinate metabolic adaptations with cell-specific functions. This expanded understanding has provided key insight into novel connections between chronic positive energy balance and aberrant metabolism and the maladaptation of multiple inflammatory, immune, fibrotic, extra-cellular matrix remodeling, and proliferative processes. Our scientific team is exploring this novel insight into ACLY biology and selected primary sclerosing cholangitis (PSC) as the lead indication for the next-generation key drivers of PSC progression, namely bile duct injury, inflammation, and fibrosis. PSC represents a large unmet medical need with no approved therapies to slow disease progression.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Cardiovascular Disease and Elevated LDL-C</w:t>
      </w:r>
    </w:p>
    <w:p>
      <w:pPr>
        <w:spacing w:after="0" w:line="22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ASCVD is a chronic, progressive disease; the presence of increasing LDL-C is causal in the development of ASCVD and plays a central role in the multifactorial disease process of lipid accumulation and systemic inflammation. ASCVD is the underlying cause of many major CV events including myocardial infarction, or MI, and ischemic stroke. In practice, ASCVD can include a spectrum of diagnoses, including acute events such as MI or stroke, coronary revascularization procedures, as well as conditions such as peripheral artery disease, or PAD, coronary artery disease, or CAD, or angina.</w:t>
      </w:r>
    </w:p>
    <w:p>
      <w:pPr>
        <w:spacing w:after="0" w:line="170"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Extensive evidence has shown that LDL-C is a major modifiable risk factor for ASCVD. Studies further suggest that the causal effect of LDL-C on the risk of ASCVD is determined by both the degree and length of time LDL-C is elevated. The relationship between LDL-C levels and ASCVD risk has important implications, including:</w:t>
      </w:r>
    </w:p>
    <w:p>
      <w:pPr>
        <w:spacing w:after="0" w:line="167" w:lineRule="exact"/>
        <w:rPr>
          <w:sz w:val="20"/>
          <w:szCs w:val="20"/>
          <w:color w:val="auto"/>
        </w:rPr>
      </w:pPr>
    </w:p>
    <w:p>
      <w:pPr>
        <w:ind w:left="420" w:hanging="107"/>
        <w:spacing w:after="0"/>
        <w:tabs>
          <w:tab w:leader="none" w:pos="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LDL-C level attained using therapies that target LDL receptors yield greater clinical benefit in CV risk reduction than therapies that do not;</w:t>
      </w:r>
    </w:p>
    <w:p>
      <w:pPr>
        <w:spacing w:after="0" w:line="217" w:lineRule="exact"/>
        <w:rPr>
          <w:rFonts w:ascii="Times New Roman" w:cs="Times New Roman" w:eastAsia="Times New Roman" w:hAnsi="Times New Roman"/>
          <w:sz w:val="17"/>
          <w:szCs w:val="17"/>
          <w:color w:val="auto"/>
        </w:rPr>
      </w:pPr>
    </w:p>
    <w:p>
      <w:pPr>
        <w:ind w:left="620" w:right="260" w:hanging="307"/>
        <w:spacing w:after="0" w:line="288" w:lineRule="auto"/>
        <w:tabs>
          <w:tab w:leader="none" w:pos="41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generally straight-line relationship between absolute reductions in LDL-C and reductions in the incidence of major vascular events (e.g., lower LDL-C is related to proportionally lower event rates);</w:t>
      </w:r>
    </w:p>
    <w:p>
      <w:pPr>
        <w:spacing w:after="0" w:line="151" w:lineRule="exact"/>
        <w:rPr>
          <w:rFonts w:ascii="Times New Roman" w:cs="Times New Roman" w:eastAsia="Times New Roman" w:hAnsi="Times New Roman"/>
          <w:sz w:val="17"/>
          <w:szCs w:val="17"/>
          <w:color w:val="auto"/>
        </w:rPr>
      </w:pPr>
    </w:p>
    <w:p>
      <w:pPr>
        <w:ind w:left="420" w:hanging="107"/>
        <w:spacing w:after="0"/>
        <w:tabs>
          <w:tab w:leader="none" w:pos="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Cumulative LDL-C burden is a determinant of when ASCVD starts and/or gets worse; and</w:t>
      </w:r>
    </w:p>
    <w:p>
      <w:pPr>
        <w:spacing w:after="0" w:line="217"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41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Lowering LDL-C levels in patients with high CV risk earlier (rather than later) is recommended, especially for patients with familial hypercholesterolemia (FH).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Blood Cholesterol Guidelines</w:t>
      </w:r>
    </w:p>
    <w:p>
      <w:pPr>
        <w:spacing w:after="0" w:line="209"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7"/>
          <w:szCs w:val="17"/>
          <w:color w:val="auto"/>
        </w:rPr>
        <w:t>LDL-C is currently the focus of healthcare provider efforts to improve the cholesterol profile in individuals at risk for or with established ASCVD. Evidence overwhelmingly shows that cardiovascular risk reduction, for first and subsequent events, is correlated to the magnitude of LDL-C reduction, and that lowering LDL-C levels earlier (rather than later) is recommended, especially for patients with FH. Over the past 20 years since the inception of lipid targets in the NCEP ATP III (National Cholesterol Education Program Adult Treatment Panel III), guidelines have evolved to include continually lower LDL-C treatment targets in patients with established ASCVD.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color w:val="auto"/>
        </w:rPr>
        <w:t>The ESC and the European Atherosclerosis Society, or EAS, released the 2025 Focused Update of the 2019 ESC/EAS Guidelines for the Management of Dyslipidaemias in August 2025. The data from CLEAR Outcomes was evaluated and expert panel provided Class 1, Level A and Class 1, Level B recommendations for use of bempedoic in patients unable to take statin therapy. Bempedoic acid also received a IIa, Level C recommendation when added to maximally tolerated statin therapy. Moreover, earlier use of combination therapies (addition of non-statin medications to max-tolerated statins) are recommended earlier in the treatment continuum to reduce CV events when LDL-C thresholds are not reached.</w:t>
      </w:r>
    </w:p>
    <w:p>
      <w:pPr>
        <w:spacing w:after="0" w:line="174" w:lineRule="exact"/>
        <w:rPr>
          <w:sz w:val="20"/>
          <w:szCs w:val="20"/>
          <w:color w:val="auto"/>
        </w:rPr>
      </w:pPr>
    </w:p>
    <w:p>
      <w:pPr>
        <w:jc w:val="both"/>
        <w:ind w:right="400"/>
        <w:spacing w:after="0" w:line="244" w:lineRule="auto"/>
        <w:rPr>
          <w:sz w:val="20"/>
          <w:szCs w:val="20"/>
          <w:color w:val="auto"/>
        </w:rPr>
      </w:pPr>
      <w:r>
        <w:rPr>
          <w:rFonts w:ascii="Times New Roman" w:cs="Times New Roman" w:eastAsia="Times New Roman" w:hAnsi="Times New Roman"/>
          <w:sz w:val="17"/>
          <w:szCs w:val="17"/>
          <w:color w:val="auto"/>
        </w:rPr>
        <w:t>The American Diabetes Association, or ADA, has included NEXLETOL as a Level A recommendation for primary and secondary prevention patients with diabetes and statin intolerance, as an alternative cholesterol lowering therapy for the last 3 annual updates (2024-2026). In the 2025 ACC/AHA/Multisociety Guideline for the Management of Patients With Acute Coronary Syndromes, or ACS, bempedoic acid was recommended as an add on therapy for patients on maximally tolerated statin therapy and not LDL-C goal.</w:t>
      </w:r>
    </w:p>
    <w:p>
      <w:pPr>
        <w:spacing w:after="0" w:line="17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In Q1 2026, the highly anticipated ACC/AHA/Multisociety Guideline is expected to be released, which will replace the 2018 guidelines. As this guideline was released before NEXLIZET and NEXLETOL received FDA approval, we expect it will contain new recommendations for bempedoic acid for the management of cardiovascular risk and hypercholesterolemia.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 Opportunity for Bempedoic Acid and the Bempedoic Acid / Ezetimibe Combination Tablet</w:t>
      </w:r>
    </w:p>
    <w:p>
      <w:pPr>
        <w:spacing w:after="0" w:line="2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Overall, 71 million adults in the US are at high risk of CVD and eligible for statin therapy according to the AHA/ACC guidelines. The estimated US prevalence of risk groups based on NHANES is provided below.</w:t>
      </w:r>
    </w:p>
    <w:p>
      <w:pPr>
        <w:spacing w:after="0" w:line="151"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7280" w:type="dxa"/>
            <w:vAlign w:val="bottom"/>
          </w:tcPr>
          <w:p>
            <w:pPr>
              <w:ind w:left="3700"/>
              <w:spacing w:after="0"/>
              <w:rPr>
                <w:sz w:val="20"/>
                <w:szCs w:val="20"/>
                <w:color w:val="auto"/>
              </w:rPr>
            </w:pPr>
            <w:r>
              <w:rPr>
                <w:rFonts w:ascii="Times New Roman" w:cs="Times New Roman" w:eastAsia="Times New Roman" w:hAnsi="Times New Roman"/>
                <w:sz w:val="17"/>
                <w:szCs w:val="17"/>
                <w:color w:val="auto"/>
              </w:rPr>
              <w:t>US Prevalence Estimates by Statin-Eligible Groups</w:t>
            </w:r>
          </w:p>
        </w:tc>
        <w:tc>
          <w:tcPr>
            <w:tcW w:w="3660" w:type="dxa"/>
            <w:vAlign w:val="bottom"/>
          </w:tcPr>
          <w:p>
            <w:pPr>
              <w:spacing w:after="0"/>
              <w:rPr>
                <w:sz w:val="19"/>
                <w:szCs w:val="19"/>
                <w:color w:val="auto"/>
              </w:rPr>
            </w:pPr>
          </w:p>
        </w:tc>
      </w:tr>
      <w:tr>
        <w:trPr>
          <w:trHeight w:val="232"/>
        </w:trPr>
        <w:tc>
          <w:tcPr>
            <w:tcW w:w="72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4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Patient Subgroup</w:t>
            </w: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Prevalence (in Millions)</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ASCVD and age ≥21 years</w:t>
            </w:r>
          </w:p>
        </w:tc>
        <w:tc>
          <w:tcPr>
            <w:tcW w:w="3660" w:type="dxa"/>
            <w:vAlign w:val="bottom"/>
          </w:tcPr>
          <w:p>
            <w:pPr>
              <w:jc w:val="center"/>
              <w:ind w:right="994"/>
              <w:spacing w:after="0"/>
              <w:rPr>
                <w:sz w:val="20"/>
                <w:szCs w:val="20"/>
                <w:color w:val="auto"/>
              </w:rPr>
            </w:pPr>
            <w:r>
              <w:rPr>
                <w:rFonts w:ascii="Times New Roman" w:cs="Times New Roman" w:eastAsia="Times New Roman" w:hAnsi="Times New Roman"/>
                <w:sz w:val="17"/>
                <w:szCs w:val="17"/>
                <w:color w:val="auto"/>
              </w:rPr>
              <w:t>24.6</w:t>
            </w:r>
          </w:p>
        </w:tc>
      </w:tr>
      <w:tr>
        <w:trPr>
          <w:trHeight w:val="22"/>
        </w:trPr>
        <w:tc>
          <w:tcPr>
            <w:tcW w:w="7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5"/>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LDL-C ≥190 mg/dL</w:t>
            </w:r>
          </w:p>
        </w:tc>
        <w:tc>
          <w:tcPr>
            <w:tcW w:w="3660" w:type="dxa"/>
            <w:vAlign w:val="bottom"/>
            <w:tcBorders>
              <w:bottom w:val="single" w:sz="8" w:color="CCEEFF"/>
            </w:tcBorders>
            <w:shd w:val="clear" w:color="auto" w:fill="CCEEFF"/>
          </w:tcPr>
          <w:p>
            <w:pPr>
              <w:jc w:val="center"/>
              <w:ind w:right="974"/>
              <w:spacing w:after="0"/>
              <w:rPr>
                <w:sz w:val="20"/>
                <w:szCs w:val="20"/>
                <w:color w:val="auto"/>
              </w:rPr>
            </w:pPr>
            <w:r>
              <w:rPr>
                <w:rFonts w:ascii="Times New Roman" w:cs="Times New Roman" w:eastAsia="Times New Roman" w:hAnsi="Times New Roman"/>
                <w:sz w:val="17"/>
                <w:szCs w:val="17"/>
                <w:color w:val="auto"/>
                <w:w w:val="93"/>
              </w:rPr>
              <w:t>2.3</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Diabetes mellitus (DM), age 40–75 years</w:t>
            </w:r>
          </w:p>
        </w:tc>
        <w:tc>
          <w:tcPr>
            <w:tcW w:w="3660" w:type="dxa"/>
            <w:vAlign w:val="bottom"/>
          </w:tcPr>
          <w:p>
            <w:pPr>
              <w:jc w:val="center"/>
              <w:ind w:right="974"/>
              <w:spacing w:after="0"/>
              <w:rPr>
                <w:sz w:val="20"/>
                <w:szCs w:val="20"/>
                <w:color w:val="auto"/>
              </w:rPr>
            </w:pPr>
            <w:r>
              <w:rPr>
                <w:rFonts w:ascii="Times New Roman" w:cs="Times New Roman" w:eastAsia="Times New Roman" w:hAnsi="Times New Roman"/>
                <w:sz w:val="17"/>
                <w:szCs w:val="17"/>
                <w:color w:val="auto"/>
                <w:w w:val="93"/>
              </w:rPr>
              <w:t>15</w:t>
            </w:r>
          </w:p>
        </w:tc>
      </w:tr>
      <w:tr>
        <w:trPr>
          <w:trHeight w:val="22"/>
        </w:trPr>
        <w:tc>
          <w:tcPr>
            <w:tcW w:w="7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5"/>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ASCVD risk ≥20%</w:t>
            </w:r>
          </w:p>
        </w:tc>
        <w:tc>
          <w:tcPr>
            <w:tcW w:w="3660" w:type="dxa"/>
            <w:vAlign w:val="bottom"/>
            <w:tcBorders>
              <w:bottom w:val="single" w:sz="8" w:color="CCEEFF"/>
            </w:tcBorders>
            <w:shd w:val="clear" w:color="auto" w:fill="CCEEFF"/>
          </w:tcPr>
          <w:p>
            <w:pPr>
              <w:jc w:val="center"/>
              <w:ind w:right="974"/>
              <w:spacing w:after="0"/>
              <w:rPr>
                <w:sz w:val="20"/>
                <w:szCs w:val="20"/>
                <w:color w:val="auto"/>
              </w:rPr>
            </w:pPr>
            <w:r>
              <w:rPr>
                <w:rFonts w:ascii="Times New Roman" w:cs="Times New Roman" w:eastAsia="Times New Roman" w:hAnsi="Times New Roman"/>
                <w:sz w:val="17"/>
                <w:szCs w:val="17"/>
                <w:color w:val="auto"/>
                <w:w w:val="93"/>
              </w:rPr>
              <w:t>9.4</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Intermediate ASCVD (≥7.5% to &lt;20%) risk and ≥1 risk enhancer(s)</w:t>
            </w:r>
          </w:p>
        </w:tc>
        <w:tc>
          <w:tcPr>
            <w:tcW w:w="3660" w:type="dxa"/>
            <w:vAlign w:val="bottom"/>
          </w:tcPr>
          <w:p>
            <w:pPr>
              <w:jc w:val="center"/>
              <w:ind w:right="974"/>
              <w:spacing w:after="0"/>
              <w:rPr>
                <w:sz w:val="20"/>
                <w:szCs w:val="20"/>
                <w:color w:val="auto"/>
              </w:rPr>
            </w:pPr>
            <w:r>
              <w:rPr>
                <w:rFonts w:ascii="Times New Roman" w:cs="Times New Roman" w:eastAsia="Times New Roman" w:hAnsi="Times New Roman"/>
                <w:sz w:val="17"/>
                <w:szCs w:val="17"/>
                <w:color w:val="auto"/>
                <w:w w:val="93"/>
              </w:rPr>
              <w:t>20</w:t>
            </w:r>
          </w:p>
        </w:tc>
      </w:tr>
      <w:tr>
        <w:trPr>
          <w:trHeight w:val="22"/>
        </w:trPr>
        <w:tc>
          <w:tcPr>
            <w:tcW w:w="7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660" w:type="dxa"/>
            <w:vAlign w:val="bottom"/>
            <w:shd w:val="clear" w:color="auto" w:fill="CCEEFF"/>
          </w:tcPr>
          <w:p>
            <w:pPr>
              <w:jc w:val="center"/>
              <w:ind w:right="994"/>
              <w:spacing w:after="0"/>
              <w:rPr>
                <w:sz w:val="20"/>
                <w:szCs w:val="20"/>
                <w:color w:val="auto"/>
              </w:rPr>
            </w:pPr>
            <w:r>
              <w:rPr>
                <w:rFonts w:ascii="Times New Roman" w:cs="Times New Roman" w:eastAsia="Times New Roman" w:hAnsi="Times New Roman"/>
                <w:sz w:val="17"/>
                <w:szCs w:val="17"/>
                <w:color w:val="auto"/>
              </w:rPr>
              <w:t>71.3</w:t>
            </w:r>
          </w:p>
        </w:tc>
      </w:tr>
      <w:tr>
        <w:trPr>
          <w:trHeight w:val="22"/>
        </w:trPr>
        <w:tc>
          <w:tcPr>
            <w:tcW w:w="728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Patients with HeFH or established ASCVD who require additional lowering of LDL-C</w:t>
      </w:r>
    </w:p>
    <w:p>
      <w:pPr>
        <w:spacing w:after="0" w:line="22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We initially developed bempedoic acid and the bempedoic acid /ezetimibe combination tablet as an adjunct to diet and statin therapy for patients with HeFH and/or ASCVD who require additional lowering of LDL-C. We further developed bempedoic acid as a treatment to reduce cardiovascular risk for patients with HeFH and/or ASCVD. The severity of elevated LDL-C in these patients, their level of cardiovascular disease risk and their therapeutic options vary widely.</w:t>
      </w:r>
    </w:p>
    <w:p>
      <w:pPr>
        <w:spacing w:after="0" w:line="16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Despite the prevalence of statins, many patients with ASCVD are still not achieving their LDL-C goals and need additional LDL-C lowering beyond that achieved with statin monotherapy. It is estimated that approximately 10 million patients with ASCVD in the United States currently taking statins require additional LDL-C lowering. Approximately 60% to 70% of patients receiving statins do not meet their LDL-C goals, and estimates are worse among high CV risk groups, such as adults with severe hypercholesterolemia (98%) or ASCVD (80%).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Patients at High Risk of Developing ASCVD (Primary Prevention)</w:t>
      </w:r>
    </w:p>
    <w:p>
      <w:pPr>
        <w:spacing w:after="0" w:line="2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Difficulty in achieving guideline recommended LDL-C goals is not limited to the established ASCVD population. Several recent estimates indicate that there may be up to 15 million US adults currently on statin medications for primary prevention who are not at goal and need treatment optimization, either via statin intensification or additional therapies.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Untreated Patients</w:t>
      </w:r>
    </w:p>
    <w:p>
      <w:pPr>
        <w:spacing w:after="0" w:line="22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Due to a myriad of reasons, as many as 40 million adults in the US with ASCVD or at high-risk for ASCVD remain untreated with statins. This gap in care represents an important public health opportunity.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Unable or Unwilling to Take Guideline Recommended Doses of Statins</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Muscle pain and weakness are the most common side effects experienced by statin users and the most common causes for discontinuing therapy. Approximately 7-29% of patients on statins report statin intolerance, and of those, the majority cite statin-associated muscle symptoms, or SAMS, as the cause, while others report laboratory changes, or other non-muscle adverse symptoms independently or in addition to SAMS. Presence of statin intolerance, regardless of the cause, is associated with suboptimal achievement of recommended lipid levels and an increased risk of first and recurrent MACE. In fact, a significant proportion of patients remain on statin therapy despite experiencing muscle-related side effects and require additional LDL-C lowering therapies to help them achieve their LDL-C treatment goals. Accordingly, we believe that in the presence of an oral, once-daily, non-statin LDL-C and cardiovascular risk lowering therapy, the statin intolerant market could grow substantially. According to our research, approximately 5.7 million patients in the United States are not on statins, need additional LDL-C lowering, and it is estimated that many are only able to tolerate less than the lowest approved daily starting dose of their statin and are therefore considered to be statin intolerant.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Approved LDL-C Lowering Therapies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Statin Therapy</w:t>
      </w:r>
    </w:p>
    <w:p>
      <w:pPr>
        <w:spacing w:after="0" w:line="224"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Statins are the standard of care for patients with hypercholesterolemia today and are highly effective at lowering LDL-C. This class of drugs includes atorvastatin calcium, marketed as Lipitor®, the most prescribed LDL-C lowering drug in the world.</w:t>
      </w:r>
    </w:p>
    <w:p>
      <w:pPr>
        <w:spacing w:after="0" w:line="15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Statins are selective, competitive inhibitors of HMG-CoA reductase, a rate-limiting enzyme in the cholesterol biosynthesis pathway in liver cells. Statin inhibition of cholesterol synthesis increases the number of LDL receptors on the surface of liver cells. This increase in LDL receptors increases uptake of LDL particles into liver cells from the blood, thus lowering LDL-C levels. The exact mechanism of SAMS is unclear, but a few hypotheses have been proposed. These include, but are not limited to: mechanistic effects on the HMG-CoA pathway, direct cellular effects on the mitochondria, genetic factors, and structural effects of statins on skeletal muscle. These effects may be linked to myalgia, potentially leading to statin intolerance.</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benefits of statin use in lowering LDL-C levels and improving cardiovascular outcomes are well documented. However, statins alone are not enough to optimize LDL-C and prevent CVD. Despite the effectiveness of statins and their broad market acceptance &gt;50% of high-risk patients are not at their guideline-recommended LDL-C goal despite receiving high-intensity statin therapy, indicating the need for adjunct non-statin therapy. In addition, approximately 30% of US adults are unable to take recommended levels of statin doses due to statin intolerance. For these reasons, we believe there is a continued unmet need for oral, once-daily, non-statin medicines to treat patients with elevated LDL-C.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Ezetimibe</w:t>
      </w:r>
    </w:p>
    <w:p>
      <w:pPr>
        <w:spacing w:after="0" w:line="2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Ezetimibe is a cholesterol absorption inhibitor that directly binds to NPC1L1 and prevents the transportation of dietary cholesterol from the gut lumen to intestinal enterocytes, resulting in decreased amounts of cholesterol delivered to the liver and an upregulation of hepatic LDL receptors. Ezetimibe also inhibits cholesterol absorption in the small intestine. Ezetimibe is indicated for monotherapy as an adjunctive therapy to diet for the reduction of elevated TC, LDL-C, Apo B, and non–HDL-C in patients with primary hyperlipidemia (HeFH and nonfamilial). It is also approved for combination therapy with a statin or fenofibrate. The standard dose of 10 mg/day lowers LDL-C by approximately 15% to 20% when used alone, in addition to the reduction achieved with statins. However, based on a retrospective real-world database study, it has been estimated that (depending on baseline LDL-C level) 70% or more of patients who switch to or add ezetimibe to statin therapy still require additional LDL-C lowering to achieve treatment goals (with therapeutic targets reached by only 30% of patients with baseline LDL-C levels of 70 to 99 mg/dL).</w:t>
      </w:r>
    </w:p>
    <w:p>
      <w:pPr>
        <w:spacing w:after="0" w:line="17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In November 2014, the results of the IMPROVE-IT (IMProved Reduction of Outcomes: Vytorin Efficacy International Trial) study were presented at the Scientific Sessions of the AHA. 18,144 patients with acute coronary syndrome were enrolled in IMPROVE-IT and were randomized to receive either 40 mg of simvastatin or 10 mg of ezetimibe/40 mg of simvastatin and were followed until &gt; 5,250 events (cardiovascular death, heart attack, documented unstable angina requiring hospitalization, coronary revascularization, or stroke) occurred. The addition of ezetimibe to simvastatin resulted in a 6.4% relative risk reduction (p=0.016) in the aggregate of the events described above. This was the first study to demonstrate incremental clinical benefit with a non-statin when added to a statin.</w:t>
      </w:r>
    </w:p>
    <w:p>
      <w:pPr>
        <w:spacing w:after="0" w:line="177"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7"/>
          <w:szCs w:val="17"/>
          <w:color w:val="auto"/>
        </w:rPr>
        <w:t>Ezetimibe has been found to be generally well tolerated, and the ACC ECDP recommends that ezetimibe be considered the first non-statin agent added when LDL-C goal is not met with high-intensity statin therapy and diet and lifestyle modifications. However, the use of ezetimibe is markedly low in the US; in the GOULD registry (Getting to an Improved Understanding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Low-Density Lipoprotein Cholesterol and Dyslipidemia Management; 2016-2018) of adults with ASCVD, only 6.8% of patients with LDL-C ≥100 mg/dL had ezetimibe added for LLT intensification. Similar data from NHANES (2015-2018) showed that only 5.1% and 1.9% of high-risk and very high-risk ASCVD patients were receiving a statin plus ezetimibe, despite 61% and 74% of these patients having LDL-C ≥70 mg/dL.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PCSK9 Inhibitors, Monoclonal Antibodies</w:t>
      </w:r>
    </w:p>
    <w:p>
      <w:pPr>
        <w:spacing w:after="0" w:line="22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PCSK9 inhibitors block an enzyme involved in the degradation of LDL receptors. PCSK9 inhibitors are injectable, monoclonal antibodies to lower LDL-C. As described in currently approved U.S. prescribing information, PCSK9 inhibitors have demonstrated reductions of LDL-C when added on to maximally tolerated statin therapy in patients with HeFH and/or ASCVD. In 2015, the FDA approved two PCSK9 inhibitors: alirocumab, which was developed by Sanofi and Regeneron Pharmaceuticals, and evolocumab, which was developed by Amgen, Inc.</w:t>
      </w:r>
    </w:p>
    <w:p>
      <w:pPr>
        <w:spacing w:after="0" w:line="170" w:lineRule="exact"/>
        <w:rPr>
          <w:sz w:val="20"/>
          <w:szCs w:val="20"/>
          <w:color w:val="auto"/>
        </w:rPr>
      </w:pPr>
    </w:p>
    <w:p>
      <w:pPr>
        <w:ind w:right="20"/>
        <w:spacing w:after="0" w:line="208" w:lineRule="exact"/>
        <w:rPr>
          <w:sz w:val="20"/>
          <w:szCs w:val="20"/>
          <w:color w:val="auto"/>
        </w:rPr>
      </w:pPr>
      <w:r>
        <w:rPr>
          <w:rFonts w:ascii="Times New Roman" w:cs="Times New Roman" w:eastAsia="Times New Roman" w:hAnsi="Times New Roman"/>
          <w:sz w:val="17"/>
          <w:szCs w:val="17"/>
          <w:color w:val="auto"/>
        </w:rPr>
        <w:t>In February 2017, Amgen announced top-line results for the FOURIER CVOT and subsequently published the full results in the NEJM. Compared to placebo, evolocumab demonstrated a statistically significant 15% relative reduction in the primary composite endpoint of: cardiovascular death, myocardial infarction, stroke, hospitalization for unstable angina, or coronary revascularization. The FOURIER study enrolled 27,564 patients with prior ASCVD and LDL-C levels &gt;70 mg/dl receiving background statin therapy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70% high intensity / 30% moderate intensity). In a patient population with a median baseline LDL-C level of 92 mg/dl, evolocumab reduced LDL-C by 59% as compared to placebo resulting in a 56 mg/dl absolute difference. In December 2017, the indications for the use of evolocumab were updated to include reduction in risk of myocardial infarction, stroke, and coronary revascularization in adults with established CVD. In August 2025, the evolocumab's USPI indications section was updated to: reduce the risk of major adverse CV events (CV death, myocardial infarction, stroke, unstable angina requiring hospitalization, or coronary revascularization) in adults at increased risk for these events. In November 2025, Amgen announced the results of the VESALIUS CV trial and subsequently published the full results in the NEJM. A total of 12,257 patients with atherosclerosis or diabetes and without a previous myocardial infarction or stroke were randomized to evolocumab vs placebo. Compared to placebo, patients receiving evolocumab observed 25% relative risk in the primary composite endpoint of coronary heart disease death, myocardial infarction, or stroke. In a patient population with a median baseline LDL-C level 115 mg/dl, evolocumab reduced LDL-C by 55% as compared to placebo resulting in 63 mg/dl absolute difference.</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March 2018, Regeneron Pharmaceuticals and Sanofi announced top-line results for the ODYSSEY Outcomes CVOT. Compared to placebo alirocumab demonstrated a statistically significant 15% relative reduction in the primary composite endpoint of death from coronary heart disease, nonfatal myocardial infarction, fatal or nonfatal ischemic stroke or unstable angina requiring hospitalization. The ODYSSEY Outcomes study enrolled 18,924 patients who had a recent acute coronary syndrome and LDL-C levels &gt;70 mg/dl on high-intensity statin treatment. From a mean baseline of 92 mg/dl, LDL-C levels were reduced by 62.7% as compared to placebo, to a mean of 38 mg/dl. In April 2019, the FDA approved alirocumab to reduce the risk of heart attack, stroke, and unstable angina requiring hospitalization in adults with established CVD. In October 2025, the alirocumab's USPI received the following update to the indications section: to reduce the risk of major adverse CV events (coronary heart disease death, myocardial infarction, stroke, or unstable angina requiring hospitalization) in adults at increased risk for these events.</w:t>
      </w:r>
    </w:p>
    <w:p>
      <w:pPr>
        <w:spacing w:after="0" w:line="17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In addition, evolocumab and alirocumab are indicated to reduce LDL-C in patients with primary hypercholesterolemia, including heterozygous familial hypercholesterolemia (HeFH) and homozygous familial hypercholesterolemia (HoFH). Notwithstanding the LDL-C lowering efficacy of PCSK9 inhibitors, we believe their adoption by patients, physicians, and payors could be adversely impacted by their higher cost, substantial prior authorization processes, and their injectable route of administration.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PCSK9 inhibitors, small interfering ribonucleic acid (siRNA)</w:t>
      </w: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Novartis AG developed inclisiran (Leqvio®), which received FDA approval on December 22, 2021. Inclisiran is a long-acting RNA interference therapeutic agent that inhibits the synthesis of PCSK9 and is administered as an initial dose, at 3 months, and then every 6 months thereafter. The ORION-4 trial launched in October 2018 and was designed to evaluate cardiovascular outcomes in 15,000 people being treated with inclisiran or placebo and is expected to have results in the second half of 2026. In November 2021, VICTORION-2P trial was launched to evaluate major cardiovascular outcomes in 17,004 patients with established CVD treated with inclisiran or placebo and is estimated to reach completion in the fourth quarter of 2027. Novartis subsequently initiated VICTORION-1P in March 2023 to evaluate the incidence of MACE in patients 14,013 patients without a prior major cardiovascular event treated with inclisiran or placebo and is estimated to reach completion in the second quarter of 2029. Inclisiran received an updated indication in July 2025 for use as an adjunct to diet and exercise to reduce LDL-C in adults with hypercholesterolemia, including HeFH. The VICTORION-CHALLENGE evaluated the efficacy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(change in LDL-C at day 150) of inclisiran vs bempedoic acid when added to background lipid lowering therapy. The results are expected to be released later in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Approved LDL-C Lowering Therapies</w:t>
      </w:r>
    </w:p>
    <w:p>
      <w:pPr>
        <w:spacing w:after="0" w:line="169" w:lineRule="exact"/>
        <w:rPr>
          <w:sz w:val="20"/>
          <w:szCs w:val="20"/>
          <w:color w:val="auto"/>
        </w:rPr>
      </w:pPr>
    </w:p>
    <w:p>
      <w:pPr>
        <w:ind w:right="120"/>
        <w:spacing w:after="0" w:line="217" w:lineRule="exact"/>
        <w:rPr>
          <w:sz w:val="20"/>
          <w:szCs w:val="20"/>
          <w:color w:val="auto"/>
        </w:rPr>
      </w:pPr>
      <w:r>
        <w:rPr>
          <w:rFonts w:ascii="Times New Roman" w:cs="Times New Roman" w:eastAsia="Times New Roman" w:hAnsi="Times New Roman"/>
          <w:sz w:val="17"/>
          <w:szCs w:val="17"/>
          <w:color w:val="auto"/>
        </w:rPr>
        <w:t xml:space="preserve">Merck is evaluating an oral PCSK9 inhibitor, enlicitide, which has demonstrated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56% LDL-C reduction in Phase 3 clinical trials. New Amsterdam Pharma is evaluating a cholesteryl ester transfer protein (CETP) inhibitor, which demonstrated 33-36% placebo-corrected LDL-C reduction in clinical trials. AstraZeneca is in the early stages of evaluating Laroprovstat (AZD0780), an oral PCSK9 inhibitor. Cardiovascular outcomes trials for each of the products have been initiated.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4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We derive revenue through two primary sources: product sales and collaboration revenue. Product sales, net is related to our sales of NEXLETOL and NEXLIZET in the U.S. NEXLETOL and NEXLIZET were commercially available in the U.S. on March 30, 2020 and June 4, 2020, respectively. Collaboration revenue consists of the collaboration payments made to us under our collaboration arrangements outside of the U.S. for the development and commercialization of our product candidates by our partners. Collaboration revenue also includes royalty revenue and sales of bulk tablets of our products to our collaboration partners.</w:t>
      </w:r>
    </w:p>
    <w:p>
      <w:pPr>
        <w:spacing w:after="0" w:line="1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During the year ended December 31, 2025, we recognized $159.6 million in net product sales of NEXLETOL and NEXLIZET and $243.6 million in collaboration revenue, primarily related to milestone payments from Ostuka, sales of bulk tablets under supply agreements and royalty revenue received from collaboration partners. During the year ended December 31, 2024, we recognized $115.7 million in net product sales of NEXLETOL and NEXLIZET and $216.6 million in collaboration revenue, primarily related to the settlement with Daiichi Sankyo Europe GmbH, or DSE, or the DSE Settlement, a milestone from Otsuka upon first Japanese New Drug Application, or JNDA, submission in the Otsuka Territory, sales of bulk tablets under supply agreements and royalty revenue received from collaboration partners. During the year ended December 31, 2023, we recognized $78.3 million in net product sales of NEXLETOL and NEXLIZET and $38.0 million in collaboration revenue, primarily related to sales of bulk tablets under supply agreements and royalty revenue received from collaboration partners.</w:t>
      </w:r>
    </w:p>
    <w:p>
      <w:pPr>
        <w:spacing w:after="0" w:line="177"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If we fail to complete the development of bempedoic acid or the bempedoic acid / ezetimibe combination tablet in other territories outside the U.S. and Europe (including obtaining additional potential indications) and the other approved countries, or any other product candidates we may develop, our ability to generate future revenue and our results of operations and financial position may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0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Research and development expenses for the year ended December 31, 2025, were $47.9 million, which was primarily related to clinical development costs relating to ongoing clinical studies and compensation related costs, including stock-based compensation. We expect research and development expenses to remain consistent in 2026 due to the continuation of our phase III pediatric trial and the continuing advancement of our preclinical pipeline.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w:t>
      </w:r>
    </w:p>
    <w:p>
      <w:pPr>
        <w:spacing w:after="0" w:line="22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established our commercialization and distribution capabilities with the commercial launch of NEXLETOL and NEXLIZET in the U.S. We announced collaboration agreements for the commercialization of bempedoic acid and the bempedoic acid / ezetimibe combination tablet with DSE in 2019, with Otsuka in 2020, and with Daiichi Sankyo Co. Ltd, or DS, in 2021.</w:t>
      </w:r>
    </w:p>
    <w:p>
      <w:pPr>
        <w:spacing w:after="0" w:line="167"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We continue to engage in partnering discussions with potential third-party collaborators. We intend to seek approval and launch commercial sales of the bempedoic acid and the bempedoic acid / ezetimibe combination tablet in unpartnered territories outside of the United States by establishing additional collaborations with one or more pharmaceutical company collaborators, depending on, among other things, the applicable indications, the related development costs and our available resources.</w:t>
      </w:r>
    </w:p>
    <w:p>
      <w:pPr>
        <w:spacing w:after="0" w:line="15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7"/>
          <w:szCs w:val="17"/>
          <w:color w:val="auto"/>
        </w:rPr>
        <w:t>We increased our selling, general and administrative expense in 2024 due to the expanded cardiovascular outcomes indication received in March of 2024 for NEXLETOL and NEXLIZET and the increased marketing and promotional activities along with increased sales force needed to launch the new indication. This included additional third-party commercial support and other promotional related expenses.</w:t>
      </w:r>
    </w:p>
    <w:p>
      <w:pPr>
        <w:spacing w:after="0" w:line="15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Our selling, general, and administrative expense in 2026 is expected to remain consistent with 2025. As noted above, we increased our commercial organization and sales force in 2024 in anticipation of the new expanded cardiovascular outcomes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label for NEXLETOL and NEXLIZET and expect our spend to stay consistent year over year. We will continue to spend on the promotional activities, marketing, and field force related to the continued launch of our expanded label in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Supply</w:t>
      </w:r>
    </w:p>
    <w:p>
      <w:pPr>
        <w:spacing w:after="0" w:line="222"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7"/>
          <w:szCs w:val="17"/>
          <w:color w:val="auto"/>
        </w:rPr>
        <w:t>Bempedoic acid and the bempedoic acid / ezetimibe combination tablet are small molecule drugs that are synthesized from readily available raw materials using conventional chemical processes. We currently have no manufacturing facilities. We rely on contract manufacturers to produce both drug substances and drug products required for our commercial supply and clinical studies. All lots of drug substance and drug product used in commercial supply and clinical studies are manufactured under current good manufacturing practices, or cGMP. We plan to continue to rely upon contract manufacturers and, potentially, in connection with the transfer of certain manufacturing responsibilities to DSE, collaboration partners to manufacture commercial quantities of the bempedoic acid and the bempedoic acid / ezetimibe combination tablet in the United States and in Europe and in territories outside of the United States and Europe.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Licenses and Collaboration Agreements</w:t>
      </w:r>
    </w:p>
    <w:p>
      <w:pPr>
        <w:spacing w:after="0" w:line="22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April 2008, we entered into an asset transfer agreement with Pfizer pursuant to which we acquired all intellectual property owned by Pfizer relating exclusively to the bempedoic acid program. We also entered into a license agreement providing a worldwide, exclusive, fully paid-up license of certain residual background intellectual property not transferred pursuant to the asset transfer agreement, and we granted Pfizer a worldwide, exclusive, fully paid-up license to certain patent rights owned or controlled by us relating to development programs other than bempedoic acid. The license to us covers the development, manufacturing and commercialization of bempedoic acid. There are no restrictions or limitations and we may grant sublicenses under the license agreements. Pfizer is not entitled to any royalties, milestones or any similar development or commercialization payments under the terms of the agreements, and the licenses granted are irrevocable and may not be terminated for any cause, including intentional breaches or breaches caused by gross negligence.</w:t>
      </w:r>
    </w:p>
    <w:p>
      <w:pPr>
        <w:spacing w:after="0" w:line="16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On January 2, 2019, we entered into a license and collaboration agreement, or LCA, with DSE. Pursuant to the agreement, we have granted DSE exclusive commercialization rights to bempedoic acid and the bempedoic acid / ezetimibe combination tablet in the European Economic Area, or EEA, and Switzerland, or the DSE Territory. DSE will be responsible for commercialization in the DSE Territory. We remain responsible for clinical development, regulatory and manufacturing activities for the licensed products globally, including in the DSE Territory. On June 18, 2020, we entered into an amendment to the LCA Amendment with DSE to include Turkey. DSE’s designated affiliate in Turkey will be solely responsible, at its sole cost and expense, for all regulatory matters relating to such products in Turkey, including obtaining Regulatory Approval for such products in Turkey. On January 3, 2024, we announced that after a transition period, DSE will assume sole responsibility for the manufacture of NILEMDO and NUSTENDI for the DSE Territory and that we granted DSE the exclusive rights for clinical development, regulatory activities, manufacture and commercialization of a bempedoic acid/ezetimibe/statin triple combination pill in the DSE Territory.</w:t>
      </w:r>
    </w:p>
    <w:p>
      <w:pPr>
        <w:spacing w:after="0" w:line="21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On April 17, 2020, we entered into a license and collaboration agreement, or the Otsuka Agreement, with Otsuka. Pursuant to the Otsuka Agreement, we granted Otsuka exclusive development and commercialization rights to bempedoic acid and the bempedoic acid / ezetimibe combination tablet in Japan. Otsuka will be responsible for all development, regulatory, and commercialization activities in Japan. In addition, Otsuka will fund all clinical development costs associated with the program in Japan.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26, 2021, we entered into a license and collaboration agreement with DS. Pursuant to the agreement, we granted DS exclusive development and commercialization rights to bempedoic acid and the bempedoic acid / ezetimibe combination tablet in South Korea, Taiwan, Hong Kong, Thailand, Vietnam, Brazil, Macao, Cambodia and Myanmar, or the DS Territory. In October 2025, DSE notified us that it was terminating its rights under the agreement with respect to Myanmar and Cambodia.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On January 3, 2024, we announced that after a transition period, DS will assume sole responsibility for the manufacture of NILEMDO and NUSTENDI for the DS Territory and that we granted DS the exclusive rights for clinical development, regulatory activities, manufacture and commercialization of a bempedoic acid/ezetimibe/statin triple combination pill in the DS Territory.</w:t>
      </w:r>
    </w:p>
    <w:p>
      <w:pPr>
        <w:spacing w:after="0" w:line="2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On December 12, 2024, we entered into a license and collaboration agreement with Neopharm. Under the terms of the agreement, we granted Neopharm exclusive commercialization rights to NEXLETOL and NEXLIZET in Israel, Gaza, and West Bank. Neopharm will be responsible for commercialization in these areas.</w:t>
      </w:r>
    </w:p>
    <w:p>
      <w:pPr>
        <w:spacing w:after="0" w:line="13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7"/>
          <w:szCs w:val="17"/>
          <w:color w:val="auto"/>
        </w:rPr>
        <w:t>On February 26, 2025, we entered into a license and distribution agreement with Seqirus Pty Ltd, or CSL Seqirus, for the rights to commercialize NEXLETOL and NEXLIZET in Australia and New Zealand. Under the terms of the agreement, we will receive an upfront and near-term milestone payments and will be responsible for supplying finished product to CSL Seqirus.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CSL Seqirus will be responsible for all commercialization activities, including regulatory approval, reimbursement and marketing.</w:t>
      </w:r>
    </w:p>
    <w:p>
      <w:pPr>
        <w:spacing w:after="0" w:line="20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On May 7, 2025, we entered into a license and distribution agreement with HLS Therapeutics Inc., or HLS, for the exclusive rights to commercialize NEXLETOL and NEXLIZET in Canada. Under the terms of the agreement, we received an upfront milestone payment and will receive near-term milestone payments along with tiered royalties on product sales. We will be responsible for supplying finished product to HLS at a profitable transfer price. HLS will be responsible for commercialization, including reimbursement and marketing.</w:t>
      </w:r>
    </w:p>
    <w:p>
      <w:pPr>
        <w:spacing w:after="0" w:line="18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For additional details on the DSE, Otsuka, DS, Neopharm, CSL Seqirus, and HLS agreements, see Note 3 to our audited financial statements appearing elsewhere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We strive to protect and enhance the proprietary technologies that we believe are important to our business, including seeking and maintaining patents intended to cover our products and compositions, their methods of use and any other inventions that are important to our business. We also rely on trade secrets to protect aspects of our business that are not amenable to, or that we do not consider appropriate for, patent protection.</w:t>
      </w:r>
    </w:p>
    <w:p>
      <w:pPr>
        <w:spacing w:after="0" w:line="16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bempedoic acid, the bempedoic acid / ezetimibe combination tablet and our other development programs.</w:t>
      </w:r>
    </w:p>
    <w:p>
      <w:pPr>
        <w:spacing w:after="0" w:line="173"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As of December 31, 2025, our patent estate, including patents we own, on a worldwide basis, included approximately 12 issued United States patents and 12 pending United States patent applications and over 40 issued patents and over 80 pending patent applications in other foreign jurisdictions. Of our worldwide patent estate, only a subset of our patents and pending patent applications relates to our bempedoic acid program.</w:t>
      </w:r>
    </w:p>
    <w:p>
      <w:pPr>
        <w:spacing w:after="0" w:line="15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Bempedoic acid is claimed in U.S. Patent No. 7,335,799 that is scheduled to expire in December 2030, which includes 711 days of patent term adjustment, and five years of patent term extension. We believe that this patent could also be the subject of an additional six month pediatric exclusivity period. We have one granted European patent that has been validated in numerous European countries including France, Germany, Great Britain, Ireland, Italy, the Netherlands, Spain, Sweden and Switzerland. We obtained five year patent term extensions via supplementary protection certificates for 24 national patents validated from the granted European patent, which extends our patent protection in those countries until 2028. In addition, we own one patent family that includes U.S. Patent Nos. 11,407,705 and 11,987,548, directed to methods of manufacturing high purity bempedoic acid; U.S. Patent Nos. 11,613,511, 12,398,087 and 12,404,227, directed to compositions of matter of high purity bempedoic acid; U.S. Patent No. 11,760,714, as well as U.S. Patent No. 12,398,087 discussed above, are directed to pharmaceutical formulations containing high purity bempedoic acid; U.S. Patent No. 11,926,584 directed to methods of lowering LDL-C using high purity bempedoic acid, and two pending U.S. patent applications directed to additional compositions of matter of high purity bempedoic acid and methods of treatment using the same, and six granted patents and 19 pending patent applications outside of the United States. U.S. Patent Nos. 11,407,705, 11,613,511, 11,760,714, 11,926,584, 11,987,548, 12,398,087 and 12,404,227 and the other patent family members, if issued, are scheduled to expire in June 2040.</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addition, we own three patent families in which we are pursuing patent protection for our bempedoic acid / ezetimibe combination tablet and our proposed fixed dose combination of bempedoic acid and one or more statins. The first patent family includes U.S. Patent Nos. 10,912,751 and 11,744,816, directed to methods of treating familial hypercholesterolemia or lowering LDL-C with a bempedoic acid / ezetimibe combination tablet, which are scheduled to expire in March 2036.</w:t>
      </w:r>
    </w:p>
    <w:p>
      <w:pPr>
        <w:spacing w:after="0" w:line="1"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7"/>
          <w:szCs w:val="17"/>
          <w:color w:val="auto"/>
        </w:rPr>
        <w:t>This family also includes one pending U.S. patent application, and 10 granted patents and 9 pending applications outside the U.S., directed to methods of treatment using the bempedoic acid / ezetimibe combination tablet. The second patent family includes one pending U.S. patent application and 13 granted patents and 22 pending applications outside the U.S., directed to pharmaceutical compositions of bempedoic acid and ezetimibe and methods of manufacturing our bempedoic acid / ezetimibe combination tablet. The third patent family includes one issued U.S. patent, U.S. Patent No. 11,116,739, one pending U.S. patent application, and 13 granted patents and 9 pending applications outside the U.S., directed to fixed dose combinations of bempedoic acid and one or more statins and/or methods of using such fixed dose combinations. U.S. Patent No. 11,116,739 is scheduled to expire in March 2036. A European patent in this patent family is currently being opposed at the European Patent Office.</w:t>
      </w:r>
    </w:p>
    <w:p>
      <w:pPr>
        <w:spacing w:after="0" w:line="220"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In addition to the patents we own, we also hold an exclusive, worldwide, fully paid-up license on any residual background intellectual property not transferred from Pfizer pursuant to our asset transfer agreement with Pfizer.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term of individual patents depends upon the legal term of the patents in the countries in which they are obtained. In most countries in which we file, the patent term is 20 years from the date of filing a non-provisional application. 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patent.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We have obtained a patent term extension in the United States for U.S. Patent No. 7,335,799. We also have obtained five-year supplementary protection certificates for one of the granted, counterpart European patents. However, any equivalent regulatory authority in other countries, may not agree with our assessment of whether such extensions are available, and may refuse to grant extensions to our patents, or may grant shorter extensions than we request. The duration of foreign patents varies in accordance with provisions of applicable local law, but typically is also twenty years from the earliest effective filing date. Our issued U.S. patents relating to bempedoic acid, including patent term extensions we obtained, will expire on dates ranging from late-2030 to mid-2040. However, the actual protection afforded by a patent varies on a claim by claim basis for each applicable product, from country to country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8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Furthermore, the patent positions of biotechnology and pharmaceutical products and processes like those we intend to develop and commercialize are generally uncertain and involve complex legal and factual questions. No consistent policy regarding the breadth of claims allowed in such patents has emerged to date in the U.S. The patent situation outside the U.S. is even more uncertain. Changes in either the patent laws or in interpretations of patent laws in the U.S. and other countries can diminish our ability to protect our inventions, and enforce our intellectual property rights and more generally, could affect the value of our intellectual property. Accordingly, we cannot predict the breadth of claims that may be allowed or enforced in our patents or in third-party patents.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may receive in the future, may be challenged, invalidated or circumvented, and the rights granted under any issued patents may not provide us with proprietary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may rely, in some circumstances, on trade secrets and unpatented know-how to protect our technology. However, trade secrets can be difficult to protect. We seek to protect our proprietary technology and processes, in part, by entering into confidentiality agreements with our consultants, vendors, collaborators, scientific advisors, contractors and other third parties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vendors, collaborators, scientific advisors, contractors or other third parties use intellectual property owned by others in their work for us, disputes may arise as to the rights in related or resulting know-how and inventions. For more information, please see “Risk Factors—Risks Related to our Intellectual Property.”</w:t>
      </w:r>
    </w:p>
    <w:p>
      <w:pPr>
        <w:spacing w:after="0" w:line="3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commercial success will also depend in part on not infringing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bempedoic acid, the bempedoic acid / ezetimibe combination tablet, or any other product candidates may have a material adverse impact on us. If third parties prepare and file patent applications in the U.S. that also claim technology to which we have rights, we may have to participate in an interference or derivation proceeding at the USPTO, to determine who is entitled to claim invention.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addition, substantial scientific and commercial research has been conducted for many years in the areas in which we have focused our development efforts, which has resulted in third parties having a number of issued patents and pending patent applications. Patent applications in the U.S. and elsewhere are published only after eighteen months from the priority date. The publication of discoveries in the scientific or patent literature frequently occurs substantially later than the date on which the</w:t>
      </w:r>
    </w:p>
    <w:p>
      <w:pPr>
        <w:spacing w:after="0" w:line="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underlying discoveries were made. Therefore, patent applications relating to drugs similar to bempedoic acid and any future drugs, discoveries or technologies we might develop may have already been filed by others without our knowledge.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Key competitive factors affecting the commercial success of our product candidates are likely to be efficacy, safety and tolerability profile, reliability, convenience of dosing, price and reimbursement.</w:t>
      </w:r>
    </w:p>
    <w:p>
      <w:pPr>
        <w:spacing w:after="0" w:line="17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market for cholesterol regulating therapies is especially large and competitive. The product candidates we are currently developing and commercializing will face intense competition, either as monotherapies or as combination therapies.</w:t>
      </w:r>
    </w:p>
    <w:p>
      <w:pPr>
        <w:spacing w:after="0" w:line="15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drugs non-competitive or obsolete. See “Risk Factors—Risks Related to Sales, Marketing, and Competition—Our market is subject to intense competition. If we are unable to compete effectively, our opportunity to generate revenue from the sale of bempedoic acid or the bempedoic acid / ezetimibe combination tablet in the U.S., in Europe and in other territories will be materially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 and Product Approval</w:t>
      </w:r>
    </w:p>
    <w:p>
      <w:pPr>
        <w:spacing w:after="0" w:line="22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such as those we are developing and have developed.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States Drug Review and Approval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States Drug Development Process</w:t>
      </w:r>
    </w:p>
    <w:p>
      <w:pPr>
        <w:spacing w:after="0" w:line="2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the United States, the FDA regulates drugs under the Federal Food, Drug, and Cosmetic Act, or the FDCA, and its implementing regulations. The process of obtaining regulatory approvals and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voluntary product recalls,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177" w:lineRule="exact"/>
        <w:rPr>
          <w:sz w:val="20"/>
          <w:szCs w:val="20"/>
          <w:color w:val="auto"/>
        </w:rPr>
      </w:pPr>
    </w:p>
    <w:p>
      <w:pPr>
        <w:ind w:left="620" w:right="56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extensive preclinical, sometimes referred to as nonclinical, laboratory tests, animal studies and formulation studies all performed in accordance with applicable regulations, including the FDA's good laboratory practice, or GLP, regulations;</w:t>
      </w:r>
    </w:p>
    <w:p>
      <w:pPr>
        <w:spacing w:after="0" w:line="151"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Investigational New Drug application, or IND, which must become effective before human clinical trials may begin and must be updated annually;</w:t>
      </w:r>
    </w:p>
    <w:p>
      <w:pPr>
        <w:spacing w:after="0" w:line="151"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in accordance with the applicable IND and other clinical trial-related regulations, sometimes referred to as Good Clinical Practices, or GCP, to establish the safety and efficacy of the proposed drug for its proposed indication;</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NDA for a new drug;</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by the FDA within 60 days of its receipt of a NDA to file the NDA for review;</w:t>
      </w:r>
    </w:p>
    <w:p>
      <w:pPr>
        <w:spacing w:after="0" w:line="217"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pre-approval inspection of the manufacturing facility or facilities at which the active pharmaceutical ingredient, or API, and finished drug product are produced to assess compliance with cGMP;</w:t>
      </w:r>
    </w:p>
    <w:p>
      <w:pPr>
        <w:spacing w:after="0" w:line="151"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any FDA inspections of clinical trial sites, sponsor, and/or clinical research organizations, or CROs, to assess compliance with GCP and assure the integrity of clinical data in support of the NDA;</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FDA audit of the clinical trial sites that generated the data in support of the NDA;</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input from an advisory committee, if requested by FDA;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w:t>
      </w:r>
    </w:p>
    <w:p>
      <w:pPr>
        <w:spacing w:after="0" w:line="24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Once a pharmaceutical product candidate is identified for development, it enters the nonclinical, also referred to as preclinical, testing stage. Nonclinical tests include laboratory evaluations of product chemistry, toxicity, formulation and stability, as well as animal studies. A sponsor must submit the results of the nonclinical tests, together with manufacturing information, analytical data and any available clinical data or literature, to the FDA as part of the IND. The sponsor must also include a protocol detailing, among other things, the objectives of the initial clinical study, dosing procedures, subject selection and exclusion criteria, the parameters to be used in monitoring safety and the effectiveness criteria to be evaluated if the initial clinical study lends itself to an efficacy evaluation. Some nonclinical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Clinical holds also may be imposed by the FDA at any time before or during clinical studies due to safety concerns or non-compliance, and may be imposed on all drug products within a certain class of drugs. The FDA also can impose partial clinical holds, for example prohibiting the initiation of clinical studies of a certain duration or for a certain dose.</w:t>
      </w:r>
    </w:p>
    <w:p>
      <w:pPr>
        <w:spacing w:after="0" w:line="1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All clinical studies must be conducted under the supervision of one or more qualified investigators in accordance with GCP regulations. These regulations include the requirement that all research subjects provide informed consent. Further, an institutional review board, or IRB, must review and approve the plan for any clinical study before it commences at any institution. An IRB considers, among other things, whether the risks to individuals participating in the clinical study are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minimized and are reasonable in relation to anticipated benefits. The IRB also approves the information regarding the clinical study and the consent form that must be provided to each clinical study subject or his or her legal representative and must monitor the clinical study until completed.</w:t>
      </w:r>
    </w:p>
    <w:p>
      <w:pPr>
        <w:spacing w:after="0" w:line="151"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Each new clinical protocol and any amendments to the protocol must be submitted to the IND for FDA review, and to the IRBs for approval. There are also requirements governing the reporting of ongoing clinical trials and clinical trial results to public registries.</w:t>
      </w:r>
    </w:p>
    <w:p>
      <w:pPr>
        <w:spacing w:after="0" w:line="15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Information about certain clinical trials must be submitted within specific timeframes to the National Institutes of Health, or NIH, for public dissemination on their www.clinicaltrials.gov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FDA has issued Notices of Noncompliance to responsible parties who have not timely submitted clinical trial results for posting on www.clinicaltrials.gov.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Human clinical studies are typically conducted in three sequential phases that may overlap or be combined:</w:t>
      </w:r>
    </w:p>
    <w:p>
      <w:pPr>
        <w:spacing w:after="0" w:line="214" w:lineRule="exact"/>
        <w:rPr>
          <w:sz w:val="20"/>
          <w:szCs w:val="20"/>
          <w:color w:val="auto"/>
        </w:rPr>
      </w:pPr>
    </w:p>
    <w:p>
      <w:pPr>
        <w:ind w:left="620" w:right="120" w:hanging="307"/>
        <w:spacing w:after="0" w:line="27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The product is initially introduced into healthy human subjects and tested for safety, dosage tolerance, absorption, metabolism, distribution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excretion. In the case of some products for severe or life- threatening diseases, especially when the product may be too inherently toxic to ethically administer to healthy volunteers, the initial human testing may be conducted in patients.</w:t>
      </w:r>
    </w:p>
    <w:p>
      <w:pPr>
        <w:spacing w:after="0" w:line="159" w:lineRule="exact"/>
        <w:rPr>
          <w:rFonts w:ascii="Times New Roman" w:cs="Times New Roman" w:eastAsia="Times New Roman" w:hAnsi="Times New Roman"/>
          <w:sz w:val="17"/>
          <w:szCs w:val="17"/>
          <w:color w:val="auto"/>
        </w:rPr>
      </w:pPr>
    </w:p>
    <w:p>
      <w:pPr>
        <w:ind w:left="620" w:right="20" w:hanging="307"/>
        <w:spacing w:after="0" w:line="29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2. </w:t>
      </w:r>
      <w:r>
        <w:rPr>
          <w:rFonts w:ascii="Times New Roman" w:cs="Times New Roman" w:eastAsia="Times New Roman" w:hAnsi="Times New Roman"/>
          <w:sz w:val="17"/>
          <w:szCs w:val="17"/>
          <w:color w:val="auto"/>
        </w:rPr>
        <w:t>Involves clinical studies in a limited patient population to identify possible adverse effects and safety risks, to preliminarily evaluate the efficacy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product for specific targeted diseases and to determine dosage tolerance and optimal dosage and schedule.</w:t>
      </w:r>
    </w:p>
    <w:p>
      <w:pPr>
        <w:spacing w:after="0" w:line="142" w:lineRule="exact"/>
        <w:rPr>
          <w:rFonts w:ascii="Times New Roman" w:cs="Times New Roman" w:eastAsia="Times New Roman" w:hAnsi="Times New Roman"/>
          <w:sz w:val="17"/>
          <w:szCs w:val="17"/>
          <w:color w:val="auto"/>
        </w:rPr>
      </w:pPr>
    </w:p>
    <w:p>
      <w:pPr>
        <w:ind w:left="620" w:right="40" w:hanging="307"/>
        <w:spacing w:after="0" w:line="27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w:t>
      </w:r>
      <w:r>
        <w:rPr>
          <w:rFonts w:ascii="Times New Roman" w:cs="Times New Roman" w:eastAsia="Times New Roman" w:hAnsi="Times New Roman"/>
          <w:sz w:val="17"/>
          <w:szCs w:val="17"/>
          <w:color w:val="auto"/>
        </w:rPr>
        <w:t>Clinical studies are undertaken to further evaluate dosage, clinical efficacy and safety in an expanded patient population at geographically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dispersed clinical study sites. These clinical studies are intended to establish the overall risk/benefit ratio of the product and provide an adequate basis for product labeling.</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 xml:space="preserve">Progress reports detailing the results of the clinical studies must be submitted at least annually to the FDA and IND safety reports must be submitted to the FDA and the investigators for serious and unexpected adverse events, including any clinically important increase in the rate of a serious suspected adverse reaction over that listed in the protocol or investigator’s brochure, or any findings from other studies or animal 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testing that suggest a significant risk in humans exposed to the product candidate. Phase 1, Phase 2 and Phase 3 testing may not be completed successfully within any specified period, if at all. The FDA or the sponsor may suspend or terminate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NDA and FDA Review Process</w:t>
      </w:r>
    </w:p>
    <w:p>
      <w:pPr>
        <w:spacing w:after="0" w:line="21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The results of product development, nonclinical studies and clinical studies, along with descriptions of the manufacturing process, analytical tests conducted on the drug, proposed labeling and other relevant information, are submitted to the FDA as part of an NDA for a new drug, requesting approval to market the product. The submission of an NDA is subject to the payment of a substantial user fee; a waiver of such fee may be obtained under certain limited circumstances. For example, the agency will waive the application fee for the first human drug application that a small business or its affiliate submits for review or for a drug that received orphan drug designation from FDA. The Company obtained a Small Business Waiver from the FDA</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bempedoic acid. There is also an annual prescription drug program fee for each approved prescription drug product on the market.</w:t>
      </w:r>
    </w:p>
    <w:p>
      <w:pPr>
        <w:spacing w:after="0" w:line="244"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7"/>
          <w:szCs w:val="17"/>
          <w:color w:val="auto"/>
        </w:rPr>
        <w:t>In addition, under the Pediatric Research Equity Act of 2003, or PREA, as amended, made into permanent law pursuant to the Food and Drug Administration Safety and Innovation Act (FDASIA),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grant full or partial waivers.</w:t>
      </w:r>
    </w:p>
    <w:p>
      <w:pPr>
        <w:spacing w:after="0" w:line="15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The FDA reviews all NDAs submitted to ensure that they are sufficiently complete for substantive review before it accepts them for filing. The FDA may request additional information rather than accept an NDA for filing. In this event, the NDA must be re-submitted with the additional information. The re-submitted application also is subject to review before the FDA accepts it for filing. The FDA may determine that the Application filed does not allow for substantive review and may issue a Refusal to File, which essentially returns the application back to the Applicant and the clock restarts when resubmitted. Once the submission is accepted for filing, the FDA begins an in-depth substantive review.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FDA also can require, or an NDA applicant may voluntarily propose, a Risk Evaluation and Mitigation Strategy, or REMS, to ensure the benefits of a drug outweigh its risks. Elements of a REMS may include “dear doctor letters,” a medication guide, and in some cases restrictions on distribution. These elements are negotiated as part of the NDA approval, and in some cases may delay the approval date. Once adopted, REMS are subject to periodic assessment and modification. The FDA may refer the NDA to an advisory committee for review, evaluation and recommendation as to whether the application should be approved and under what conditions. An advisory committee is a panel of experts who provide advice and recommendations when requested by the FDA on matters of importance that come before the agency. The FDA is not bound by the recommendation of an advisory committee.</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studies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 or request an opportunity for a hearing.</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 certain therapeutic areas, the FDA may grant an accelerated approval, or Subpart H, approval if the agreed regulatory path is based on a surrogate endpoint that generally requires a confirmatory clinical trial to be initiated at the time of Subpart H approval. Subpart H approval comes with many restrictions including limitations on drug promotion, scope of indication and a requirement to complete a pre-agreed confirmatory clinical trial. Following completion of the confirmatory clinical trial, based on the trial results, the FDA may issue a full approval, ask for additional studies and in rare cases initiate withdrawal proceedings to withdraw the approval and the product from market.</w:t>
      </w:r>
    </w:p>
    <w:p>
      <w:pPr>
        <w:spacing w:after="0" w:line="199"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Furthermore, additional regulations may be enacted that add to additional requirements for approved products. For example, the FDA may classify a general chemical class of products as having a safety issue even though the products may not directly have a problem, which may result in additional safety and manufacturing controls.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Post-Marketing Requirements</w:t>
      </w:r>
    </w:p>
    <w:p>
      <w:pPr>
        <w:spacing w:after="0" w:line="25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7"/>
          <w:szCs w:val="17"/>
          <w:color w:val="auto"/>
        </w:rPr>
        <w:t>Following approval of a new drug, a pharmaceutical company and the approved drug are subject to continuing regulation by the FDA, including, among other things, establishment registration and drug listing,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promotion), and limitations on industry-sponsored scientific and educational activities. Although physicians may prescribe legally available drugs for off-label uses, the FDA takes the position that manufacturers may not market or promote such off-label uses.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Modifications or enhancements to the drug or its labeling or changes of the site or process of manufacturing are often subject to the approval of the FDA and other regulators, which may or may not be received or may result in a lengthy review process.</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Prescription drug advertising is subject to federal, state, and foreign regulations. In the U.S., the FDA regulates prescription drug promotion, including direct-to-consumer advertising and can utilize its enforcement mechanisms under its misbranding authority as well as issue untitled and warning letters for any violative advertising or promotion that FDA identifies in the marketplace. The FDA has recently increased its surveillance and enforcement activity for direct-to-consumer advertising of prescription drug products. Prescription drug promotional materials must be submitted to the FDA in conjunction with their first use. Any distribution of prescription drugs and pharmaceutical samples must comply with the U.S. Prescription Drug Marketing Act, or the PDMA, a part of the FDCA. Further, drugs approved under an accelerated approval pathway or Subpart H approval may require pre-approval of all marketing and promotional materials before they are used. The Drug Supply Chain Security Act, or DSCSA, was enacted in 2013 with the aim of building an electronic system to identify and trace certain prescription drugs distributed in the U.S. The stabilization period has ended for trading partners to continue to build and validate interoperable systems and processes to meet certain requirements of the DSCSA. Currently, trading partners without validated interoperable tracing systems must obtain an exemption from FDA. Additionally, the requirements of the DSCSA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 This identifier consists of the National Drug Code, serial number, lot number, and expiration date, in the form of a 2-dimensional data matrix barcode that can be read by humans and machines.</w:t>
      </w:r>
    </w:p>
    <w:p>
      <w:pPr>
        <w:spacing w:after="0" w:line="20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 the U.S., once a drug is approved, its manufacturing is subject to comprehensive and continuing regulation by the FDA. FDA regulations require that drugs be manufactured in specific facilities per the NDA approval and in accordance with cGMP. We rely, and expect to continue to rely, on third parties for the production of clinical and commercial quantities of our approved drug and drug candidates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manufacturing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21"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 requirements, including those resulting from new legislation, may be established, or the FDA's policies may change, which could delay or prevent regulatory approval of our drug candidates under development.</w:t>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Additional data or post marketing safety reports obtained globally can impact our products, whether or not we conducted the studies. For example, a research study conducted with bempedoic acid or ezetimibe by any entity globally can impact NEXLETOL and NEXLIZET in the U.S. In addition, the FDA may conduct their own surveillance of data on our products and initiate safety signal identification requiring us to conduct additional studies or analysis that may impact our label. For example, any post marketing data that has a safety signal may require us to disclose the adverse effects in post marketing section of our label.</w:t>
      </w:r>
    </w:p>
    <w:p>
      <w:pPr>
        <w:spacing w:after="0" w:line="19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From time to time, legislation is drafted, introduced, passed in Congress and signed into law that could significantly change the statutory provisions governing the approval, manufacturing, and marketing of products regulated by the FDA. In addition to</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new legislation, FDA regulations, guidance, and policies are often revised or reinterpreted by the agency in ways that may significantly affect the manner in which pharmaceutical products are regulated and marketed.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Regulatory Matters</w:t>
      </w:r>
    </w:p>
    <w:p>
      <w:pPr>
        <w:spacing w:after="0" w:line="2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Manufacturing, sales, promotion, and other activities following drug approval are also subject to regulation by numerous regulatory authorities in addition to the FDA, including, in the U.S., the Centers for Medicare &amp; Medicaid Services, or CMS, other divisions of the U.S. Department of Health and Human Services, or HHS, the Drug Enforcement Administration for controlled substances, the Consumer Product Safety Commission, the Federal Trade Commission, or FTC, the Occupational 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7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3"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our approved drug or any future products marketed by us could materially affect our business in an adverse way.</w:t>
      </w:r>
    </w:p>
    <w:p>
      <w:pPr>
        <w:spacing w:after="0" w:line="17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 or (iv) additional record-keeping requirements. If any such changes were to be imposed, they could adversely affect the operation of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 Restoration and Marketing Exclusivity</w:t>
      </w:r>
    </w:p>
    <w:p>
      <w:pPr>
        <w:spacing w:after="0" w:line="2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Depending upon the timing, duration and specifics of FDA approval of the use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diligently spent,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NDA holders can apply for restorations of patent term to add patent life beyond current expiration dates, depending on the expected length of the clinical studies and other factors involved in the filing of the relevant NDA; however, there can be no assurance that any such extension will be granted to 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Market exclusivity provisions under the FDCA can also delay the submission or the approval of certain applications. The FDCA provides a five-year period of non-patent marketing exclusivity within the United States to the first applicant to gain approval of an NDA for a new chemical entity, or NCE. A drug is a NCE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Three-year exclusivity will not delay the submission or approval of a full NDA. However, an applicant submitting a full NDA would be required to conduct or obtain a right of reference to all of the nonclinical studies and adequate and well-controlled clinical studies necessary to demonstrate safety and effectiveness.</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Pediatric exclusivity is another type of exclusivity in the United States. Pediatric exclusivity, if granted, adds six months to existing exclusivity periods for all formulations, dosage forms, and indications of the drug and patent terms. This six-month exclusivity, which runs from the end of other exclusivity protection and, for drugs,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19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Certain foreign countries permit extension of patent term for a newly approved drug and/or grant a period of data exclusivity and/or market exclusivity. For example, depending upon the timing and duration of the marketing authorization process in certain European countries, a newly approved drug may be eligible for a supplementary protection certification, or SPC, which can extend the basic patent right for the drug for a period up to five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Coverage, Reimbursement and Healthcare Reform</w:t>
      </w:r>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Sales of NEXLETOL and NEXLIZET and any future approved drugs will depend, in part, on the extent to which such drugs will be covered by third-party payors, such as government health programs, commercial insurers, and managed healthcare organizations, as well as the level of reimbursement such third-party payors provide for our products. Patients and providers are unlikely to use NEXLETOL and NEXLIZET or any future approved drugs unless coverage is provided and reimbursement is adequate to cover a significant portion of the cost of such drugs. These third-party payors are increasingly reducing reimbursements for medical drugs and services.</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Accordingly, decisions regarding the extent of coverage and amount of reimbursement to be provided for NEXLETOL and NEXLIZET or any of our future drug candidates, if approved, are made on a payor-by-payor basis. Factors payors consider in determining reimbursement are based on whether the product is:</w:t>
      </w:r>
    </w:p>
    <w:p>
      <w:pPr>
        <w:spacing w:after="0" w:line="203"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 under its health plan;</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2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As a result, the coverage determination process may be a time-consuming and costly process that will require us to provide scientific and clinical support for the use of NEXLETOL and NEXLIZET or any future approved drugs to each payor separately,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Net prices for NEXLETOL and NEXLIZET or any future approved drugs may also be reduced by mandatory discounts or rebates required by government healthcare programs or private payors and by any future relaxation of laws that presently restrict imports of drugs from countries where they may be sold at lower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prices than in the United States. Increasingly, third-party payors are requiring that drug companies provide them with predetermined discounts from list prices and are challenging the prices charged for medical products.</w:t>
      </w:r>
    </w:p>
    <w:p>
      <w:pPr>
        <w:spacing w:after="0" w:line="17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7"/>
          <w:szCs w:val="17"/>
          <w:color w:val="auto"/>
        </w:rPr>
        <w:t>In the case of our Medicaid pricing data, if we become aware that our reporting for a prior quarter is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or MDRP,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9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9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NEXLETOL and NEXLIZET or any of our future drug candidates, if approved, or a decision by a third-party payor to not cover NEXLETOL and NEXLIZET or any of our future drug candidates could reduce physician usage of such drugs and have a material adverse effect on our sales, results of operations and financial condition.</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MDRP, requires pharmaceutical manufacturers to enter into and have in effect a national rebate agreement with the Secretary of the HHS as a condition for states to receive federal matching funds for the manufacturer's outpatient drugs furnished to Medicaid patients. The ACA made several changes to the MDRP, including increasing pharmaceutical manufacturers' rebate liability by raising the minimum basic Medicaid rebate percentage on most branded prescription drugs of average manufacturer price, or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Pricing and rebate programs must also comply with the Medicaid rebate requirements of the U.S. Omnibus Budget Reconciliation Act of 1990.</w:t>
      </w:r>
    </w:p>
    <w:p>
      <w:pPr>
        <w:spacing w:after="0" w:line="17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2010, the ACA became law in the United States. The goal of the ACA is to reduce the cost of healthcare and substantially change the way healthcare is financed by both governmental and private insurers. The ACA, among other things, increases minimum Medicaid rebates owed by manufacturers under the MDRP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other legislative and regulatory changes have been proposed and adopted in the United States since the ACA was enacted:</w:t>
      </w:r>
    </w:p>
    <w:p>
      <w:pPr>
        <w:spacing w:after="0" w:line="244" w:lineRule="exact"/>
        <w:rPr>
          <w:sz w:val="20"/>
          <w:szCs w:val="20"/>
          <w:color w:val="auto"/>
        </w:rPr>
      </w:pPr>
    </w:p>
    <w:p>
      <w:pPr>
        <w:ind w:left="620" w:right="280" w:hanging="307"/>
        <w:spacing w:after="0" w:line="288"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23, 2019, CMS published a final rule to allow Medicare Advantage Plans the option of using step therapy for Part B drugs.</w:t>
      </w:r>
    </w:p>
    <w:p>
      <w:pPr>
        <w:spacing w:after="0" w:line="230" w:lineRule="exact"/>
        <w:rPr>
          <w:rFonts w:ascii="Times New Roman" w:cs="Times New Roman" w:eastAsia="Times New Roman" w:hAnsi="Times New Roman"/>
          <w:sz w:val="17"/>
          <w:szCs w:val="17"/>
          <w:color w:val="auto"/>
        </w:rPr>
      </w:pPr>
    </w:p>
    <w:p>
      <w:pPr>
        <w:ind w:left="620" w:right="80" w:hanging="307"/>
        <w:spacing w:after="0" w:line="272"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the Inflation Reduction Act of 2022 (the “IRA”) was signed into law. The IRA includes several provisions that will impact our business to varying degrees, including provisions that create a $2,000 out-of-pocket cap</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rebate rule that would require pass through of pharmacy benefit manager rebates to beneficiaries. Further, under the IRA, orphan drugs were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These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NEXLETOL and NEXLIZET or any future drug candidates for which we may obtain marketing approval. However, any negotiated prices for NEXLETOL and NEXLIZET or any future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It is unclear how these developments may impact the sale of our current and future products and the rates that we may charge in the future.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Health Resources and Services Administration, or HRSA, which administers the 340B program, issued a final regulation regarding the calculation of the</w:t>
      </w:r>
    </w:p>
    <w:p>
      <w:pPr>
        <w:spacing w:after="0" w:line="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Recently, there have also been several changes to the 340B drug pricing program. On November 3, 2023, the U.S. District Court of South Carolina issued an opinion in Genesis Healthcare Inc. v. Becerra et al. that may lead to an expansion of the scope of patients eligible to access prescriptions at 340B pricing. The outcome of this judicial proceeding is uncertain. We continue to review developments impacting the 340B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recent years, additional laws have resulted in direct or indirect reimbursement reductions for certain Medicare providers, including:</w:t>
      </w:r>
    </w:p>
    <w:p>
      <w:pPr>
        <w:spacing w:after="0" w:line="205" w:lineRule="exact"/>
        <w:rPr>
          <w:sz w:val="20"/>
          <w:szCs w:val="20"/>
          <w:color w:val="auto"/>
        </w:rPr>
      </w:pPr>
    </w:p>
    <w:p>
      <w:pPr>
        <w:ind w:left="620" w:right="80" w:hanging="307"/>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Budget Control Act of 2011, among other things, included aggregate reductions of Medicare payments to providers of 2% per fiscal year and, due to subsequent legislative amendments to the statute, will remain in effect through 2031.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right="40" w:hanging="307"/>
        <w:spacing w:after="0" w:line="27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215" w:lineRule="exact"/>
        <w:rPr>
          <w:rFonts w:ascii="Times New Roman" w:cs="Times New Roman" w:eastAsia="Times New Roman" w:hAnsi="Times New Roman"/>
          <w:sz w:val="17"/>
          <w:szCs w:val="17"/>
          <w:color w:val="auto"/>
        </w:rPr>
      </w:pPr>
    </w:p>
    <w:p>
      <w:pPr>
        <w:ind w:left="620" w:hanging="307"/>
        <w:spacing w:after="0" w:line="233" w:lineRule="auto"/>
        <w:tabs>
          <w:tab w:leader="none" w:pos="61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On March 11, 2021, President Biden signed the American Rescue Plan Act of 2021 into law. Under the American Rescue Plan of 2021, Medicare payments to providers were further reduced starting on January 1, 2025; however, legislation has been introduced in the U.S. Congress that would, if enacted, reverse these payment reductions.  In addition to provider payment cuts under Medicare, the American Rescue Plan Act of 2021 also eliminated the statutory Medicaid drug rebate cap, previously set at 100% of a drug’s AMP, for single source and innovator multiple source drugs, beginning January 1, 2024. These laws and regulations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2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support programs.</w:t>
      </w:r>
    </w:p>
    <w:p>
      <w:pPr>
        <w:spacing w:after="0" w:line="183"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7"/>
          <w:szCs w:val="17"/>
          <w:color w:val="auto"/>
        </w:rPr>
        <w:t>At the federal level, President Trump reversed some of President Biden’s executive orders including rescinding Executive Order 14087 entitled “Lowering Prescription Drug Costs for Americans.” Both President Trump and his administration have since proceeded to take actions or propose rules to regulate drug pricing.</w:t>
      </w:r>
    </w:p>
    <w:p>
      <w:pPr>
        <w:spacing w:after="0" w:line="19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209"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7"/>
          <w:szCs w:val="17"/>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19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President Trump may issue new executive orders or his administration may propose rules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We expect that additional U.S. federal healthcare reform measures will be adopted in the future, any of which could limit the amounts that the U.S. Federal Government will pay for healthcare drugs and services, which could result in reduced demand for our products or drug candidates or additional pricing pressures.</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On January 5, 2024, the FDA issued to Florida the first approval for a state importation plan for drugs imported from Canada. Several states now have pending applications with the FDA for the import of drugs from Canada, including Colorado, Maine, New Hampshire, and New Mexico.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1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NEXLETOL and NEXLIZET or any future drug candidates for which we may obtain regulatory approval or the frequency with which NEXLETOL and NEXLIZET or any such drug candidate is prescribed or used.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Healthcare Laws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our drugs and any future drug candidates that obtain regulatory approval and are marketed in the U.S., our arrangements with third-party payors, customers, and other third parties may expose us to broadly applicable fraud and abuse and other healthcare laws and regulations that may constrain the business or financial arrangements and relationships through which we market, sell, and distribute NEXLETOL and NEXLIZET or any future products candidates for which we obtain marketing approval.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In addition, we may be subject to health information privacy and security regulation by U.S. federal and state governments and foreign jurisdictions in which we conduct our business. In the U.S., these laws include, without limitation, state and federal anti-kickback, false claims, physician transparency, and patient data privacy and security laws and regulations, including but not limited to those described below:</w:t>
      </w:r>
    </w:p>
    <w:p>
      <w:pPr>
        <w:spacing w:after="0" w:line="219" w:lineRule="exact"/>
        <w:rPr>
          <w:sz w:val="20"/>
          <w:szCs w:val="20"/>
          <w:color w:val="auto"/>
        </w:rPr>
      </w:pPr>
    </w:p>
    <w:p>
      <w:pPr>
        <w:ind w:left="620" w:hanging="307"/>
        <w:spacing w:after="0" w:line="25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makes it illegal for any person, including a prescription drug manufacturer (or a party on its behalf) to, knowingly and willfully offer, solicit, receive, or pay remuneration (including any kickback, bribe, or rebate), directly or indirectly, in cash or in kind, that is intended to induce or reward, or in return for, either the referral of an individual for, or the purchase, order, or recommendation of, any good or service, for which payment may be made, in whole or in part, under federal healthcare programs such as the Medicare and Medicaid programs. Violations of this law are subject to civil and criminal fines and penalties for each violation, plus up to three times the remuneration involved, imprisonment, administrative civil monetary penalties, and exclusion from participation in government healthcare programs. In addition,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hanging="307"/>
        <w:spacing w:after="0" w:line="23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the federal False Claims Act, impose criminal and civil penalties, and authorizes civil whistleblower or qui tam actions, against individuals or entities (including manufacturers) for, among other things, knowingly presenting, or causing to be presented false or fraudulent claims for payment by a federal healthcare program; making, using, or causing to be made or used, a false statement or record material to payment of a false or fraudulent claim or obligation to pay or transmit money or property to the federal government; or knowingly concealing or knowingly and improperly avoiding or decreasing an obligation to pay money to the federal government.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Anti-Kickback Statute are false or fraudulent claims for purposes of the False Claims Act. The federal False Claims Act also permits a private individual acting as a “whistleblower” to bring actions on behalf of the federal government alleging violations of the federal False Claims Act and to share in any monetary recovery. Our marketing and activities relating to the reporting of wholesaler or estimated retail prices for NEXLETOL and NEXLIZET or any future product candidates, the reporting of prices used to calculate Medicaid rebate information, and other information affecting federal, state, and third-party reimbursement for NEXLETOL and NEXLIZET or any future product candidates, and the sale and marketing of NEXLETOL and NEXLIZET and any future product candidates, are subject to scrutiny under this law.</w:t>
      </w:r>
    </w:p>
    <w:p>
      <w:pPr>
        <w:spacing w:after="0" w:line="221" w:lineRule="exact"/>
        <w:rPr>
          <w:rFonts w:ascii="Times New Roman" w:cs="Times New Roman" w:eastAsia="Times New Roman" w:hAnsi="Times New Roman"/>
          <w:sz w:val="17"/>
          <w:szCs w:val="17"/>
          <w:color w:val="auto"/>
        </w:rPr>
      </w:pPr>
    </w:p>
    <w:p>
      <w:pPr>
        <w:ind w:left="620" w:right="80" w:hanging="307"/>
        <w:spacing w:after="0" w:line="265"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0" w:lineRule="exact"/>
        <w:rPr>
          <w:rFonts w:ascii="Times New Roman" w:cs="Times New Roman" w:eastAsia="Times New Roman" w:hAnsi="Times New Roman"/>
          <w:sz w:val="17"/>
          <w:szCs w:val="17"/>
          <w:color w:val="auto"/>
        </w:rPr>
      </w:pPr>
    </w:p>
    <w:p>
      <w:pPr>
        <w:ind w:left="620" w:right="20" w:hanging="307"/>
        <w:spacing w:after="0" w:line="25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imposes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or willfully falsifying, concealing or covering up by any trick or device a material fact, or making any materially false, fictitious, or fraudulent statement in connection with the delivery of or payment for healthcare benefits, items, or services relating to healthcare matters. Similar to the U.S. federal Anti-Kickback Statute, a person or entity does not need to have actual knowledge of the healthcare fraud statute implemented under HIPAA or specific intent to violate it in order to have committed a violation.</w:t>
      </w:r>
    </w:p>
    <w:p>
      <w:pPr>
        <w:spacing w:after="0" w:line="179" w:lineRule="exact"/>
        <w:rPr>
          <w:rFonts w:ascii="Times New Roman" w:cs="Times New Roman" w:eastAsia="Times New Roman" w:hAnsi="Times New Roman"/>
          <w:sz w:val="17"/>
          <w:szCs w:val="17"/>
          <w:color w:val="auto"/>
        </w:rPr>
      </w:pPr>
    </w:p>
    <w:p>
      <w:pPr>
        <w:ind w:left="620" w:right="60" w:hanging="307"/>
        <w:spacing w:after="0" w:line="25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or HITECH, and their respective implementing regulations, which impose, among other things, requirements on certain covered healthcare providers, health plans, and healthcare clearinghouses and their business associates, that perform services for them that involve the use, or disclosure of, individually identifiable health information, relating to the privacy, security, and transmission of individually identifiable health information without appropriate authorization,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 actions for damage or injunctions in federal courts to enforce the federal HIPAA laws and seek attorneys' fees and costs associated with pursuing federal civil actions.</w:t>
      </w:r>
    </w:p>
    <w:p>
      <w:pPr>
        <w:spacing w:after="0" w:line="179" w:lineRule="exact"/>
        <w:rPr>
          <w:rFonts w:ascii="Times New Roman" w:cs="Times New Roman" w:eastAsia="Times New Roman" w:hAnsi="Times New Roman"/>
          <w:sz w:val="17"/>
          <w:szCs w:val="17"/>
          <w:color w:val="auto"/>
        </w:rPr>
      </w:pPr>
    </w:p>
    <w:p>
      <w:pPr>
        <w:ind w:left="620" w:right="40" w:hanging="307"/>
        <w:spacing w:after="0" w:line="28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51" w:lineRule="exact"/>
        <w:rPr>
          <w:rFonts w:ascii="Times New Roman" w:cs="Times New Roman" w:eastAsia="Times New Roman" w:hAnsi="Times New Roman"/>
          <w:sz w:val="17"/>
          <w:szCs w:val="17"/>
          <w:color w:val="auto"/>
        </w:rPr>
      </w:pPr>
    </w:p>
    <w:p>
      <w:pPr>
        <w:ind w:left="620" w:right="260" w:hanging="307"/>
        <w:spacing w:after="0" w:line="28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price reporting laws require drug manufacturers to calculate and report complex pricing metrics to government programs, where such reported prices may be used in the calculation of reimbursement and/or discounts on approved products.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consumer protection and unfair competition laws, which broadly regulate marketplace activities and activities that potentially harm consumers.</w:t>
      </w:r>
    </w:p>
    <w:p>
      <w:pPr>
        <w:spacing w:after="0" w:line="205" w:lineRule="exact"/>
        <w:rPr>
          <w:rFonts w:ascii="Times New Roman" w:cs="Times New Roman" w:eastAsia="Times New Roman" w:hAnsi="Times New Roman"/>
          <w:sz w:val="17"/>
          <w:szCs w:val="17"/>
          <w:color w:val="auto"/>
        </w:rPr>
      </w:pPr>
    </w:p>
    <w:p>
      <w:pPr>
        <w:ind w:left="620" w:right="40" w:hanging="307"/>
        <w:spacing w:after="0" w:line="24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or Sunshine Act, enacted as part of the ACA, and its implementing regulations, require certain manufacturers of drugs, devices, biologics, and medical supplies for which payment is available under Medicare, Medicaid, or the Children's Health Insurance Program (with certain exceptions) to report annually to the HHS under the Open Payments Program, information related to payments and other "transfers of value" provided to physicians (defined to include doctors, dentists, optometrists, podiatrists, and chiropractors), certain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right="340"/>
        <w:spacing w:after="0" w:line="272" w:lineRule="auto"/>
        <w:rPr>
          <w:sz w:val="20"/>
          <w:szCs w:val="20"/>
          <w:color w:val="auto"/>
        </w:rPr>
      </w:pPr>
      <w:r>
        <w:rPr>
          <w:rFonts w:ascii="Times New Roman" w:cs="Times New Roman" w:eastAsia="Times New Roman" w:hAnsi="Times New Roman"/>
          <w:sz w:val="17"/>
          <w:szCs w:val="17"/>
          <w:color w:val="auto"/>
        </w:rPr>
        <w:t>other licensed health care practitioners and teaching hospitals, and ownership and investment interests held by physicians and their immediate family members.</w:t>
      </w:r>
    </w:p>
    <w:p>
      <w:pPr>
        <w:spacing w:after="0" w:line="190" w:lineRule="exact"/>
        <w:rPr>
          <w:sz w:val="20"/>
          <w:szCs w:val="20"/>
          <w:color w:val="auto"/>
        </w:rPr>
      </w:pPr>
    </w:p>
    <w:p>
      <w:pPr>
        <w:ind w:left="620" w:right="20" w:hanging="307"/>
        <w:spacing w:after="0" w:line="25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false claims laws,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Such laws are enforced by various state agencies and through private actions. Some state laws require pharmaceutical companies to comply with the pharmaceutical industry’s voluntary compliance guidelines and the relevant federal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 State and foreign laws also govern the privacy and security of health information in certain circumstances. Such data privacy and security laws may differ from one another in significant ways and often are not preempted by HIPAA, thus complicating compliance efforts.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United States, numerous federal and state laws and regulations, including state data breach notification laws, state and federal health information privacy laws, and federal and state consumer protection laws, govern the collection, use, disclosure, and protection of health-related and other personal information. In California, for example, the California Consumer Privacy Act, or CCPA, broadly defines personal information, gives California residents individual privacy rights and protections, and places stringent privacy and security obligations on business covered by the law. The California Privacy Rights Act, or CPRA, amended the CCPA and, created additional obligations with respect to processing and safeguarding personal information. The CCPA provides for civil penalties for violations and a private right of action for data breaches. Among other provisions, the CCPA requires covered "businesses" to provide certain disclosures to consumers about their data collection, use and sharing practices, and to provide affected California residents with ways to opt-out of certain sales or sharing of personal information. While there is an exception for protected health information that is subject to HIPAA and clinical trial regulations, the CCPA may impact our business activities if we become a "business" regulated by the scope of the CCPA or a service provider to a regulated business.</w:t>
      </w:r>
    </w:p>
    <w:p>
      <w:pPr>
        <w:spacing w:after="0" w:line="20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In addition to the CCPA, numerous other states have enacted similarly comprehensive privacy legislation. Furthermore, a smaller number of states have passed or are considering laws that are specifically focused upon the protection of consumer health data, such as Washington’s My Health My Data Act. At the federal level, regulators and legislators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w:t>
      </w:r>
    </w:p>
    <w:p>
      <w:pPr>
        <w:spacing w:after="0" w:line="20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The effects of state and federal privacy laws may impact our business activities (including by affecting our partnerships and vendor relationships, marketing activities, clinical trial recruitment, and other activities), lead to heightened compliance costs, and result in enforcement activity, litigation, negative publicity, and other adverse consequences in the event of any actual or perceived noncompliance. All of the aforementioned evolving compliance and operational requirements may require us to modify our data processing practices and policies and to incur substantial costs and potential liability in an effort to comply with such legislation as well as to implement organizational changes, additional protection technologies, and train employees and engaging consultants and legal advisors. In addition, state and federal privacy legislation may require us to modify our strategies, data processing practices and policies, impact the availability of previously useful data, utilize management’s time and/or divert resources from other initiatives and projects.</w:t>
      </w:r>
    </w:p>
    <w:p>
      <w:pPr>
        <w:spacing w:after="0" w:line="20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In the U.S., to help patients access our approved products, we may utilize programs to assist them, including patient assistance programs and co-pay coupon programs for eligible patients. PAPs are regulated by and subject to guidance from CMS OIG. In addition, at least one insurer has directed its network pharmacies to no longer accept co-pay coupons for certain specialty drugs the insurer identified. Our co-pay coupon programs could become the target of similar insurer actions.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w:t>
      </w:r>
    </w:p>
    <w:p>
      <w:pPr>
        <w:spacing w:after="0" w:line="2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In November 2020, the OIG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issued a Fraud Alert highlighting its view that pharmaceutical promotional speaker programs can pose a high risk of fraud and abuse.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individual imprisonment, disgorgement, exclusion of drugs from government funded healthcare programs, such as Medicare and Medicaid, contractual damages, reputational harm, diminished profits and future earnings, and the curtailment or restructuring of our operations, as well as additional oversight, and reporting obligations if we become subject to a corporate integrity agreement or similar settlement to resolve allegations of non-compliance with these laws.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may also adversely affect our business. Ensuring business arrangements comply with applicable healthcare laws, as well as responding to possible investigations by government authorities, can be time- and resource-consuming and can divert a company's attention from the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European Union Regulatory Considerations</w:t>
      </w:r>
    </w:p>
    <w:p>
      <w:pPr>
        <w:spacing w:after="0" w:line="248"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In the European Union, or EU, NILEMDO and NUSTENDI and any other of our product candidates are also subject to extensive regulatory requirements. As in the United States, medicinal products can be marketed only if a marketing authorization from the competent regulatory agencies has been obtained.</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 the event we conduct clinical trials in the EEA and UK, any collection, use, disclosure, transfer, or other processing of personal data regarding individuals in these regions is subject to the EU General Data Protection Regulation, or EU GDPR, with respect to the EEA, and the UK General Data Protection Regulation, or UK GDPR, with respect to the UK, and collectively with the EU GDPR referred to as the “GDPR” in this report unless specified otherwise. The GDPR imposes numerous requirements on companies, including requirements relating to processing health and other sensitive data, where required obtaining consent of the individuals to whom the personal data relates, having legal bases and/or conditions for processing, providing details to those individuals regarding the processing of their personal data, implementing safeguards to protect the security and confidentiality of personal data, having data processing agreements with third parties, responding to individuals’ requests to exercise their rights, reporting security breaches involving personal data to the competent national data protection authority and affected individuals, appointing data protection officers, conducting data protection impact assessments, ensuring certain accountability measures are in place and record keeping. The GDPR also imposes strict rules on the transfer of personal data to countries outside the EEA, including the United States, and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potential European activities.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European Union Drug Development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to the U.S., the various phases of preclinical and clinical research in EU are subject to significant regulatory controls.</w:t>
      </w:r>
    </w:p>
    <w:p>
      <w:pPr>
        <w:spacing w:after="0" w:line="2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 April 2014, the EU adopted the Clinical Trials Regulation (EU) No 536/2014, or the Regulation, which replaced the previous Clinical Trials Directive 2001/20/EC on January 31, 2022. The Regulation overhauled the previous system of approvals for clinical trials in the EU. The main characteristics of the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Reporting Member State. Part II is assessed separately by each Member State concerned. Strict deadlines have been established for the assessment of clinical trial applications. The role of the relevant ethics committees in the assessment procedure continues to be governed by the national law of the applicable EU Member State, however, overall related timelines are defined by the Regulation. Parties conducting certain clinical trials must, as in the United States, post clinical trial information in the EU through the CTIS.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Authorization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EU, medicinal products can only be commercialized after obtaining an EU marketing authorization. There are two types of marketing authorizations.</w:t>
      </w:r>
    </w:p>
    <w:p>
      <w:pPr>
        <w:spacing w:after="0" w:line="218"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7"/>
          <w:szCs w:val="17"/>
          <w:color w:val="auto"/>
        </w:rPr>
        <w:t>The first is the centralized marketing authorization, which is issued by the European Commission through the centralized procedure, or CP, based on the opinion of the Committee for Medicinal Products for Human Use, or CHMP of the EMA. A centralized marketing authorization is valid throughout the entire territory of the EU, and in the additional countries of the European Economic Area, or EEA (i.e., Iceland, Liechtenstein and Norway). Pursuant to Regulation (EC) No.</w:t>
      </w:r>
    </w:p>
    <w:p>
      <w:pPr>
        <w:spacing w:after="0" w:line="2"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7"/>
          <w:szCs w:val="17"/>
          <w:color w:val="auto"/>
        </w:rPr>
        <w:t>726/2004, the CP is mandatory for specific products, including for medicinal products produced by certain biotechnological processes, advanced-therapy medicinal products (gene-therapy, somatic cell-therapy or tissue-engineered medicines), products designated as orphan medicinal drugs, and medicinal drugs containing a new active substance indicated for the treatment of HIV or AIDS, cancer, neurodegenerative disorders, diabetes, auto-immune and other immune dysfunctions, and viral diseases. The CP is optional for drugs containing a new active substance not yet authorized in the EU, or for drugs that constitute a significant therapeutic, scientific, or technical innovation or which are in the interest of public health in the EU.</w:t>
      </w:r>
    </w:p>
    <w:p>
      <w:pPr>
        <w:spacing w:after="0" w:line="1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National marketing authorizations, which are issued by the competent authorities of the Member States of the EEA and only cover their respective territory, are available for drugs not falling within the mandatory scope of the CP. Where a drug has already been authorized for marketing in a Member State of the EU, this national marketing authorization can be recognized in other Member States through the mutual recognition procedure. If the drug has not received a national marketing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authorization is sought, one of which is selected by the applicant as the Reference Member State (RMS). The competent authority of the RMS prepares a draft assessment report, a draft summary of the product characteristics (SmPC), and a draft of the labeling and package leaflet, which are sent to the other Member States (referred to as the Concerned Member States) for their approval. If the Concerned Member States raise no objections, based on a potential serious risk to public health, to the assessment, SmPC, labeling, or packaging proposed by the RMS, the drug is subsequently granted a national marketing authorization in all the Member States (i.e., in the RMS and the Concerned Member States).</w:t>
      </w:r>
    </w:p>
    <w:p>
      <w:pPr>
        <w:spacing w:after="0" w:line="18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Under the above described procedures, before granting the marketing authorization, the EMA or the Competent Authorities of the Member States of the EU make an assessment of the risk benefit balance of the product on the basis of scientific criteria concerning its quality, safety, and efficacy.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and Market Exclusivity</w:t>
      </w:r>
    </w:p>
    <w:p>
      <w:pPr>
        <w:spacing w:after="0" w:line="2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Regulation (EC) No 726/2004.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marketing authorization application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 marketing authorization application with a complete and independent data package of pharmaceutical tests, preclinical tests and clinical trials.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Periods of Authorization and Renewals</w:t>
      </w:r>
    </w:p>
    <w:p>
      <w:pPr>
        <w:spacing w:after="0" w:line="25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competent authority decides, on justified grounds relating to pharmacovigilance, to proceed with one additional five-year renewal period. Any marketing authorization which is not</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followed by the actual placing of the medicinal product on the EU market (in the case of the CP) or on the market of the authorizing EU Member State (for a nationally authorized product) within three years after authorization, ceases to be valid (the so-called sunset clause).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Reform of the Regulatory Framework in the EU</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remain to be adopted into EU law, and are not expected to become applicable before 2028.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Brexit and the Regulatory Framework in the United Kingdom</w:t>
      </w:r>
    </w:p>
    <w:p>
      <w:pPr>
        <w:spacing w:after="0" w:line="2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Following the end of the Brexit transition period on January 1, 2021 and the implementation of the Windsor Framework on January 1, 2025, the UK is not generally subject to EU laws in respect of medicines. The EU laws that have been transposed into UK law through secondary legislation remain applicable in the UK, however, new legislation such as the EU Clinical Trials Regulation is not applicable in the UK. The MHRA, the UK medicines regulator, is now responsible for approving all medicines to be placed on the UK market (including Northern Ireland), and EU licensing processes (including the EU centralized procedure) do not apply to such medicines in the UK. A single UK-wide MA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w:t>
      </w:r>
    </w:p>
    <w:p>
      <w:pPr>
        <w:spacing w:after="0" w:line="20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On January 1, 2024, the MHRA put in place a new international recognition framework which means that the MHRA may have regard to decisions on the approval of marketing authorizations made by the EMA and certain other regulators when determining an application for a new UK marketing authorization.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Post-Approval Controls</w:t>
      </w:r>
    </w:p>
    <w:p>
      <w:pPr>
        <w:spacing w:after="0" w:line="224"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7"/>
          <w:szCs w:val="17"/>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All new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w:t>
      </w:r>
    </w:p>
    <w:p>
      <w:pPr>
        <w:spacing w:after="0" w:line="22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Medicinal products may only be manufactured in the EU, or imported into the EU from another country, by the holder of a manufacturing authorization from the competent national authority. The manufacturer or importer must have a qualified person who is responsible for certifying that each batch of product has been manufactured in accordance with EU GMP standards before releasing the product for commercial distribution in the EU or for use in a clinical trial. Manufacturing facilities are subject to periodic inspections by the competent authorities for compliance with cGMP.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Pricing and Reimbursement</w:t>
      </w:r>
    </w:p>
    <w:p>
      <w:pPr>
        <w:spacing w:after="0" w:line="22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Governments influence the price of medicinal products in the EU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medicines, has become very intense. As a result, increasingly high barriers are being erected to the entry of new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of the aforementioned EU rules are generally applicable in the EEA.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 of the World Regulation</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addition to regulations in the United States, we are subject to a variety of foreign regulations governing preclinical studies, clinical studies, manufacturing, distribution and commercial sales and distribution of our product candidates to the extent we choose to sell any products outside of the United States. While we have obtained FDA approval for NEXLETOL and NEXLIZET, and approval from the EC and Swissmedic for NILEMDO and NUSTENDI, and whether or not we obtain FDA, EC, or Swissmedic approval for any future product candidate (or additional indication), we must obtain approval of a product or clinical trial application by the comparable regulatory authorities of foreign countries before we can commence clinical studies or marketing of the product in those countries. The approval process varies from country to country and the time may be longer or shorter than that required for FDA approval. The requirements governing the conduct of preclinical studies, clinical studies, manufacturing,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176"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2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In order to achieve the goals and expectations of our Company, it is crucial that we continue to attract and retain top talent. To facilitate talent attraction and retention, we strive to make Esperion a safe and rewarding workplace, with opportunities for our employees to grow and develop in their careers, supported by strong compensation, benefits and health and wellness programs, and by programs that build connections between our employees. As of December 31, 2025, we had 294 full-time employees. Four of our employees have Ph.D. degrees, two have M.D. degrees and seventeen have PharmD degrees. 40 of our employees are engaged in research and development activities. None of our employees are represented by labor unions or covered by collective bargaining agreements. We consider our relationship with our employees to be good.</w:t>
      </w:r>
    </w:p>
    <w:p>
      <w:pPr>
        <w:spacing w:after="0" w:line="16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7"/>
          <w:szCs w:val="17"/>
          <w:color w:val="auto"/>
        </w:rPr>
        <w:t>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18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We provide robust compensation and benefits programs to help meet the needs of our employees. In addition to salaries, these programs include potential annual discretionary bonuses, stock awards, a 401(k) Plan, healthcare and insurance benefits, health savings and flexible spending accounts, paid time off, family leave, and flexible work schedules, among others. In addition to our broad-based equity award programs, we have used targeted equity-based grants with vesting conditions to facilitate retention of personnel, particularly those with critical drug development and commercialization skills and experience.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4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Our corporate headquarters are located in Ann Arbor, Michigan where we lease and occupy approximately 11,500 square feet of office space. We believe that our existing facilities are adequate for our current needs.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DSE Litigation</w:t>
      </w:r>
    </w:p>
    <w:p>
      <w:pPr>
        <w:spacing w:after="0" w:line="2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CVOT. On May 4, 2023, we filed an amended complaint against DSE in the Southern District of New York which seeks a judicial declaration, on an expedited basis, that DSE is contractually required to make a $300 million milestone payment to us upon applicable regulatory approval. On June 20, 2023, DSE filed a response to our amended complaint.</w:t>
      </w:r>
    </w:p>
    <w:p>
      <w:pPr>
        <w:spacing w:after="0" w:line="18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7"/>
          <w:szCs w:val="17"/>
          <w:color w:val="auto"/>
        </w:rPr>
        <w:t>On January 2, 2024, we entered into a settlement agreement with DSE to amicably resolve and dismiss the commercial dispute that was pending in the Southern District of New York, or the Settlement Agreement. Under the Settlement Agreement, DSE agreed to pay us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ASCVD. The legal action pending in the United States District Court for the Southern District of New York was subsequently dismissed.</w:t>
      </w:r>
    </w:p>
    <w:p>
      <w:pPr>
        <w:spacing w:after="0" w:line="19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Pursuant to the Settlement Agreement, also on January 2, 2024, we entered into a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Amendment to the License and Collaboration Agreement dated January 2, 2019 with DSE, and a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Amendment to the License and Collaboration Agreement dated April 26, 2021 with DS. The DSE Amendment and the DS Amendment grant each of DSE and DS exclusive rights for clinical development, regulatory activities, manufacture and commercialization of a bempedoic acid/ezetimibe/statin triple combination pill in their existing respective territories of the EEA, UK, Switzerland and Turkey, or the DSE Territory, and South Korea, Taiwan, Hong Kong, Thailand, Vietnam, Brazil, and Macao, or the DS Territory. Further, after a transition period, DSE and DS will assume sole responsibility for the manufacture of NILEMDO and NUSTENDI for, respectively, the DSE Territory and DS Territory. As of January 2, 2024, DSE has sole authority and control of regulatory communications with the EMA regarding the pending marketing authorization applications for NILEMDO and NUSTENDI.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ANDA Litigation</w:t>
      </w:r>
    </w:p>
    <w:p>
      <w:pPr>
        <w:spacing w:after="0" w:line="235"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7"/>
          <w:szCs w:val="17"/>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2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Under the Hatch-Waxman Act to the Federal Food, Drug, and Cosmetic Act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spacing w:after="0" w:line="1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its affiliate); Dr. Reddy’s Laboratories Inc. (along with its affiliate, collectively, “Dr. Reddy’s Laboratories”); Hetero USA Inc. (along with its affiliates, collectively, “Hetero USA”); Micro Labs USA Inc. (along with its affiliate, collectively, “Micro Labs”); MSN Pharmaceuticals Inc. (along with an affiliate); Renata Limited (“Renata”);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 Company subsequently reached settlement agreements with Micro Labs, Hetero USA, Accord Healthcare Inc., Dr. Reddy’s Laboratories, and Alkem Laboratories Ltd. in May 2025, June 2025, July 2025, October 2025, and February 2026, respectively. Each settlement agreement resolved the patent litigation brought by the Company against the particular ANDA Filer, each of which has agreed not to market a generic version of NEXLETOL and/or NEXLIZET, as applicable, in the United States prior to April 19, 2040, unless certain circumstances customarily included in these types of agreements occur. With the settlement with Dr. Reddy’s Laboratories in October 2025, there are no remaining challenges regarding the validity or infringement of U.S Patent No. 7,335,799 in the pending patent litigation with the remaining ANDA filers. Certain of the Company’s patents that remain subject to the pending patent litigation are scheduled to expire in March 2036, while others are scheduled to expire in June 2040.</w:t>
      </w:r>
    </w:p>
    <w:p>
      <w:pPr>
        <w:spacing w:after="0" w:line="20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pending patent litigation against the remaining ANDA Filers (Aurobindo Pharma Limited (along with an affiliate); MSN Pharmaceuticals Inc. (along with an affiliate); Renata (along with an affiliate); and Sandoz Inc.) is ongoing, and there can be no assurance whether such ongoing patent litigation will allow a generic version of NEXLETOL and/or NEXLIZET, as applicable, to be marketed in the U.S. prior to April 19, 2040. The trial is anticipated to begin no earlier than January 2027, but no trial date has been set.</w:t>
      </w:r>
    </w:p>
    <w:p>
      <w:pPr>
        <w:spacing w:after="0" w:line="19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January 2026, Renata notified the Company that it had filed an ANDA with the FDA seeking approval of a generic version of NEXLIZET in the United States (the “2026 Renata ANDA”). The 2026 Renata ANDA is in addition to the ANDA that Renata had previously filed with respect to NEXLETOL, for which the pending patent litigation described above is ongoing. Under the Hatch-Waxman Act, the Company had 45 days from receipt of the 2026 Renata ANDA notice letter to commence patent infringement lawsuits against Renata in a federal district court to trigger a stay precluding the FDA’s approval of the 2026 Renata ANDA from being effective any earlier than 7.5 years from the date of approval of the NEXLIZET new drug application or entry of judgment holding the patents invalid, unenforceable, or not infringed, whichever occurs first. In March 2026, the Company filed a patent infringement lawsuit under the Hatch-Waxman Act in the United States District Court, District of New Jersey, against Renata. The Company’s complaint alleges that by filing the 2026 Renata ANDA, Renata has infringed NEXLIZET’s Orange Book patents included in its Paragraph IV certifications, and seeks an injunction preventing the FDA from granting final approval of the 2026 Renata ANDA before the expiration of the asserted patents, and a permanent injunction to prevent Renata from commercializing a generic version of NEXLIZET until the expiration of the asserted patents. No trial date has been set.</w:t>
      </w:r>
    </w:p>
    <w:p>
      <w:pPr>
        <w:spacing w:after="0" w:line="20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Our website address is www.esperion.com. Our Annual Reports on Form 10-K, Quarterly Reports on Form 10-Q, Current Reports on Form 8-K and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 In addition, we regularly use our website to post information regarding our business, product development programs and governance, and we encourage investors to use our website, particularly the investor relations page, as a source of information about us. Information on our website is not part of this Annual Report on Form 10-K or any of our other securities filings unless specifically incorporated herein by reference. We have included our website address in this Annual Report on Form 10-K solely as an inactive textual reference. Alternatively, these reports may be accessed at the SEC’s website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i w:val="1"/>
          <w:iCs w:val="1"/>
          <w:color w:val="auto"/>
        </w:rPr>
        <w:t>Except for the historical information contained herein or incorporated by reference, this Annual Report on Form 10-K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Annual Report on Form 10-K. Factors that could cause or contribute to these differences include, but are not limited to, those discussed in the following section, as well as those discussed in Part II, Item 7 entitled “Management’s Discussion and Analysis of Financial Condition and Results of Operations” and elsewhere throughout this Annual Report on Form 10-K and in any documents incorporated in this Annual Report on Form 10-K by reference.</w:t>
      </w:r>
    </w:p>
    <w:p>
      <w:pPr>
        <w:spacing w:after="0" w:line="195"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7"/>
          <w:szCs w:val="17"/>
          <w:i w:val="1"/>
          <w:iCs w:val="1"/>
          <w:color w:val="auto"/>
        </w:rPr>
        <w:t>You should consider carefully the following risk factors, together with all of the other information included or incorporated in this Annual Report on Form 10-K. If any of the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200" w:lineRule="exact"/>
        <w:rPr>
          <w:sz w:val="20"/>
          <w:szCs w:val="20"/>
          <w:color w:val="auto"/>
        </w:rPr>
      </w:pPr>
    </w:p>
    <w:p>
      <w:pPr>
        <w:spacing w:after="0" w:line="2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Risks Related to our Business and Commercialization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Business Development and Commercialization</w:t>
      </w:r>
    </w:p>
    <w:p>
      <w:pPr>
        <w:spacing w:after="0" w:line="21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depend almost entirely on the success of two products, bempedoic acid and the bempedoic acid / ezetimibe combination tablet. There is no assurance that our commercialization efforts in the U.S. and our partner's efforts, including DSE, DS and Otsuka, with respect to either product will be successful or that we will be able to generate revenues at the levels or within the timing we expect or at the levels or within the timing necessary to support our corporate goals.</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In 2025, we generated $159.6 million in net revenues from the sale of products in the U.S. Our products, NEXLETOL (bempedoic acid) tablet and NEXLIZET (bempedoic acid and ezetimibe) tablet, were approved by the FDA in February 2020. NEXLETOL became commercially available in the U.S. in March 2020 and NEXLIZET became commercially available in the U.S. in June 2020. On April 6, 2020, we announced that the EC approved NILEMDO (bempedoic acid) and NUSTENDI (bempedoic acid and ezetimibe) tablet for the treatment of hypercholesterolemia and mixed dyslipidemia. The decision is applicable to all 27 EU member states plus the UK, Iceland, Norway and Liechtenstein. NILEMDO and NUSTENDI are the branded product names for bempedoic acid and the bempedoic acid / ezetimibe combination tablet in Europe. Since 2020, Daiichi Sankyo Europe launched NILEMDO and NUSTENDI in multiple EU countries as well as the UK and, Switzerland. Daiichi Sankyo Europe also received approvals for NILEMDO and NUSTENDI in Turkey for LDL-C lowering. DS received its first regional approval for NILEMDO and NUSTENDI in Hong Kong and launched in late 2023 and received additional approvals in the DS Territory in 2024. NILEMDO and NUSTENDI are approved in Thailand, Myanmar, Macau and NILEMDO is approved in Taiwan. On March 22, 2024, we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 On May 22, 2024, we announced that the EC approved the label update of both NILEMDO and NUSTENDI as treatments for hypercholesterolemia and to reduce the risk of adverse cardiovascular events. Similarly, the label update for both NILEMDO and NUSTENDI as treatments for hypercholesterolemia and to reduce the risk of adverse cardiovascular events were approved in the United Kingdom on June 6, 2024. Switzerland approved similar label updates for NUSTENDI on November 15, 2024 and for NILEMDO on January 31, 2025. NILEMDO and NUSTENDI are approved to reduce cardiovascular risk in patients with or at high risk for ASCVD. On September 19, 2025, we announced that Otsuka received approval from the Japanese Ministry of Health, Labour and Welfare, or MHLW, to market bempedoic acid (NEXLETOL) in Japan for the treatment of hypercholesterolemia and familial hypercholesterolemia. On December 2, 2024, we also announced that we had filed New Drug Submissions (NDSs) to Health Canada for NEXLETOL and NEXLIZET. On November 18, 2025, we announced that HLS Therapeutics Inc, our partner in Canada, received approval from Health Canada to market NILEMDO for the reduction of LDL-Cholesterol for those at risk of cardiovascular disease. There is no assurance that the ongoing commercial launches will be successful or that the planned additional launches will occur on the timing we anticipate and generate the revenues we expect. We may encounter delays or hurdles related to our launches that affect timing.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Our business currently depends heavily on our ability to successfully commercialize NEXLETOL and NEXLIZET in the U.S. to treat patients for cardiovascular risk reduction and expanded LDL-C lowering in both primary and secondary prevention patients. We may never be able to successfully commercialize the products even with their expanded indications or meet our expectations with respect to revenues. Prior to our launch in March 2020, we had never marketed, sold or distributed for commercial use any pharmaceutical product. There is no guarantee that the infrastructure, systems, processes, policies, personnel, relationships and materials we have built and may alter to commercialize these products in the U.S. will be sufficient for us to achieve success at the levels we expect. Additionally, healthcare providers may not widely accept a new treatment paradigm for primary and secondary prevention patients. We may also encounter challenges related to reimbursement of bempedoic acid and the bempedoic acid / ezetimibe combination tablet, even if we have positive early indications from payors, including potential limitations in the scope, breadth, availability, or amount of reimbursement covering each product. Additionally, coverage by a third-party payor does not guarantee reimbursement. For example, the terms of certain agreements require or may require practitioners to seek prior authorization from the third-party payor. Payors have implemented prior authorization requirements for our products which has impacted utilization and, thus, our ability to generate revenue from commercial sales of NEXLIZET and NEXLETOL in the United States. The Company implemented a prior authorization support program to support patients and physician practices in facilitating prior authorizations. If patients continue to experience difficulty in obtaining prior authorization for our products and/or our programs on a timely basis, this may adversely impact ongoing sales of our products.</w:t>
      </w:r>
    </w:p>
    <w:p>
      <w:pPr>
        <w:spacing w:after="0" w:line="21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We have obtained regulatory approval from the FDA, the EMA, UK MHRA, and Swissmedic for both of our leading product candidates for cardiovascular risk reduction and expanded LDL-C lowering in both primary and secondary prevention patients. We have obtained regulatory approval from Health Authorities in Turkey, Hong Kong, Thailand, Myanmar, Macau for LDL-C lowering for both products and from Taiwan TFDA, Japan MHLW, and Health Canada for NILEMDO. However, we cannot be certain that we will be able to obtain approval from regulatory authorities in other territories we (or our partners) decide to pursue, or successfully commercialize our products and any future product candidates. Additionally, we cannot be certain that we will be able to obtain approval for either of our candidates for any other indication or obtain or approval of any future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Bempedoic acid and the bempedoic acid / ezetimibe combination tablet may require substantial additional clinical development, testing, and regulatory approvals before we are permitted to commence their commercialization in markets outside of the U.S. and Europe and other countries where we have received approval for an LDL-C lowering or cardiovascular risk reduction indication. The clinical studies, manufacturing and marketing of our products and any future product candidates are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preclinical testing and clinical studies that the product candidate is safe and effective for use in each target indication. This process can take many years and require the expenditure of substantial resources, and may include post-marketing studies and surveillance. Of the large number of drugs in development in the U.S., only a small percentage successfully complete the approval process at the FDA, EMA or any other foreign regulatory agency, and are commercialized. Accordingly, we cannot assure you that bempedoic acid and the bempedoic acid / ezetimibe combination tablet or any other of our product candidates we may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 will be successfully developed or commercialized in any other territory.</w:t>
      </w:r>
    </w:p>
    <w:p>
      <w:pPr>
        <w:spacing w:after="0" w:line="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We are not permitted to market our product candidates in the U.S., in Europe or any other approved territory for any other indication until we receive approval of an NDA supplement from the FDA, MAA, from the EC, or in any other foreign countries until we receive the requisite approval from such countries. Additionally, we may decide to submit a supplemental NDA or MAA in the future for bempedoic acid and the bempedoic acid / ezetimibe combination tablet for other indications. As a condition to submitting an NDA supplement or MAA for bempedoic acid to treat patients with hypercholesterolemia for a CVD risk reduction indication, we completed the CLEAR Outcomes CVOT, and we have used the data from this trial to support further regulatory submissions and may use it to support additional regulatory submissions in the future.</w:t>
      </w:r>
    </w:p>
    <w:p>
      <w:pPr>
        <w:spacing w:after="0" w:line="217" w:lineRule="exact"/>
        <w:rPr>
          <w:sz w:val="20"/>
          <w:szCs w:val="20"/>
          <w:color w:val="auto"/>
        </w:rPr>
      </w:pPr>
    </w:p>
    <w:p>
      <w:pPr>
        <w:jc w:val="both"/>
        <w:ind w:right="480"/>
        <w:spacing w:after="0" w:line="288" w:lineRule="auto"/>
        <w:rPr>
          <w:sz w:val="20"/>
          <w:szCs w:val="20"/>
          <w:color w:val="auto"/>
        </w:rPr>
      </w:pPr>
      <w:r>
        <w:rPr>
          <w:rFonts w:ascii="Times New Roman" w:cs="Times New Roman" w:eastAsia="Times New Roman" w:hAnsi="Times New Roman"/>
          <w:sz w:val="17"/>
          <w:szCs w:val="17"/>
          <w:color w:val="auto"/>
        </w:rPr>
        <w:t>Obtaining approval of an NDA or MAA is a complex, lengthy, expensive and uncertain process, and the FDA or EMA may delay, limit or deny approval of bempedoic acid and the bempedoic acid / ezetimibe combination tablet, or any of our future product candidates for many reasons, including, among others:</w:t>
      </w:r>
    </w:p>
    <w:p>
      <w:pPr>
        <w:spacing w:after="0" w:line="151"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authorities may change their approval policies or adopt new regulations;</w:t>
      </w:r>
    </w:p>
    <w:p>
      <w:pPr>
        <w:spacing w:after="0" w:line="217"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authorities may change their approval policies for an LDL-C lowering indication for bempedoic acid and the bempedoic acid / ezetimibe combination tablet if there is a shift in the future standard-of-care for statin intolerant patients with hypercholesterolemia;</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authorities may change their approval policies with regard to a CVD risk reduction indication;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clinical studies may not meet the level of statistical or clinical significance required by the FDA or EMA for marketing approval;</w:t>
      </w:r>
    </w:p>
    <w:p>
      <w:pPr>
        <w:spacing w:after="0" w:line="217"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magnitude of the treatment effect must also be clinically meaningful along with the drug’s safety for a favorable benefit/risk assessment by the FDA, EMA or any other regulatory agency;</w:t>
      </w:r>
    </w:p>
    <w:p>
      <w:pPr>
        <w:spacing w:after="0" w:line="151" w:lineRule="exact"/>
        <w:rPr>
          <w:rFonts w:ascii="Times New Roman" w:cs="Times New Roman" w:eastAsia="Times New Roman" w:hAnsi="Times New Roman"/>
          <w:sz w:val="17"/>
          <w:szCs w:val="17"/>
          <w:color w:val="auto"/>
        </w:rPr>
      </w:pPr>
    </w:p>
    <w:p>
      <w:pPr>
        <w:ind w:left="620" w:right="480" w:hanging="307"/>
        <w:spacing w:after="0" w:line="28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change in the future the number, design, size, duration, patient enrollment criteria, exposure of patients, or conduct or implementation of our clinical studies;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require that we conduct additional clinical studies;</w:t>
      </w:r>
    </w:p>
    <w:p>
      <w:pPr>
        <w:spacing w:after="0" w:line="217"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not approve the formulation, specifications or labeling of bempedoic acid and the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CROs, that we retain to conduct our clinical studies may take actions outside of our control that materially adversely impact our clinical studies;</w:t>
      </w:r>
    </w:p>
    <w:p>
      <w:pPr>
        <w:spacing w:after="0" w:line="217"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find the data from preclinical studies and clinical studies insufficient to demonstrate that the clinical and other benefits of bempedoic acid and the bempedoic acid / ezetimibe combination tablet outweigh the safety risks;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disagree with our interpretation of data from our preclinical studies and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not accept data generated at our clinical study sites;</w:t>
      </w:r>
    </w:p>
    <w:p>
      <w:pPr>
        <w:spacing w:after="0" w:line="217" w:lineRule="exact"/>
        <w:rPr>
          <w:rFonts w:ascii="Times New Roman" w:cs="Times New Roman" w:eastAsia="Times New Roman" w:hAnsi="Times New Roman"/>
          <w:sz w:val="17"/>
          <w:szCs w:val="17"/>
          <w:color w:val="auto"/>
        </w:rPr>
      </w:pPr>
    </w:p>
    <w:p>
      <w:pPr>
        <w:jc w:val="both"/>
        <w:ind w:left="620" w:right="20" w:hanging="307"/>
        <w:spacing w:after="0" w:line="270"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NDAs are reviewed by an advisory committee, the FDA may have difficulties scheduling an advisory committee meeting in a timely manner or the advisory committee may recommend against approval of our applications or may recommend that the FDA require, as a condition of approval, additional preclinical studies or clinical studies, limitations in approved labeling or distribution and use restrictions;</w:t>
      </w:r>
    </w:p>
    <w:p>
      <w:pPr>
        <w:spacing w:after="0" w:line="167" w:lineRule="exact"/>
        <w:rPr>
          <w:rFonts w:ascii="Times New Roman" w:cs="Times New Roman" w:eastAsia="Times New Roman" w:hAnsi="Times New Roman"/>
          <w:sz w:val="17"/>
          <w:szCs w:val="17"/>
          <w:color w:val="auto"/>
        </w:rPr>
      </w:pPr>
    </w:p>
    <w:p>
      <w:pPr>
        <w:ind w:left="620" w:right="380" w:hanging="307"/>
        <w:spacing w:after="0" w:line="28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require the development of a Risk Evaluation and Mitigation Strategy (REMS) as a condition of approval or post-approval; or</w:t>
      </w:r>
    </w:p>
    <w:p>
      <w:pPr>
        <w:spacing w:after="0" w:line="151"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not approve the manufacturing processes or facilities of third-party manufacturers with which we contract.</w:t>
      </w:r>
    </w:p>
    <w:p>
      <w:pPr>
        <w:spacing w:after="0" w:line="1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Any of these factors, many of which are beyond our control, could jeopardize our ability to obtain regulatory approval for and successfully market bempedoic acid and the bempedoic acid / ezetimibe combination tablet or any other product candidates. Moreover, because our business is almost entirely dependent upon these products, any setback in our pursuit of initial or additional regulatory approvals would have a material adverse effect on our business and prospects.</w:t>
      </w:r>
    </w:p>
    <w:p>
      <w:pPr>
        <w:spacing w:after="0" w:line="1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development and approvals required for the approval of the bempedoic acid / ezetimibe combination tablet are substantially identical to those for bempedoic acid, and the risks relating to the clinical development and approval of bempedoic acid apply equally to the bempedoic acid / ezetimibe combination tablet. Any failure in our development of bempedoic acid would materially and adversely affect our ability to develop, seek approval for and commercialize the bempedoic acid / ezetimibe combination tablet for the planned indications. In addition, even if bempedoic acid succeeds in its clinical development and is approved for one or more indications, there can be no assurance that the bempedoic acid / ezetimibe combination tablet would be developed successfully and approved for the same indications or at all, and vice versa.</w:t>
      </w:r>
    </w:p>
    <w:p>
      <w:pPr>
        <w:spacing w:after="0" w:line="171"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as a commercial company and the marketing and sale of bempedoic acid and the bempedoic acid / ezetimibe combination tablet or any future approved drugs may be unsuccessful or less successful than anticipated.</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While we have commercially launched our approved drugs in the U.S. and DSE, DS, and Otsuka have collectively commercially launched in multiple countries in the EU and Asia, we have limited experience as a commercial company and there is limited information about our ability to successfully overcome many of the risks and uncertainties encountered by companies commercializing drugs in the biopharmaceutical industry. To execute our business plan, in addition to</w:t>
      </w:r>
    </w:p>
    <w:p>
      <w:pPr>
        <w:spacing w:after="0" w:line="2"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successfully marketing and selling bempedoic acid and the bempedoic acid / ezetimibe combination tablet in their current and planned future indications, or any future approved drugs, we will need to successfully:</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maintain our relationships with healthcare providers who will be treating the patients who may receive our drugs and any future drugs;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adequate pricing and reimbursement for bempedoic acid and the bempedoic acid / ezetimibe combination tablet and any future drugs;</w:t>
      </w:r>
    </w:p>
    <w:p>
      <w:pPr>
        <w:spacing w:after="0" w:line="243"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effective and robust promotional compliance controls. As our commercial footprint expands, our promotional and medical affairs activities are subject to scrutiny by the FDA’s Office of Prescription Drug Promotion (“OPDP”) in the U.S. and comparable authorities outside the U.S.;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maintain successful strategic alliances;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our spending for clinical trials, marketing approvals, and commercialization.</w:t>
      </w:r>
    </w:p>
    <w:p>
      <w:pPr>
        <w:spacing w:after="0" w:line="24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If we are unsuccessful in accomplishing these objectives, we may not be able to successfully commercialize bempedoic acid and the bempedoic acid / ezetimibe combination tablet or any future drug candidates, raise capital, expand our business, or continue our operations.</w:t>
      </w:r>
    </w:p>
    <w:p>
      <w:pPr>
        <w:spacing w:after="0" w:line="145" w:lineRule="exact"/>
        <w:rPr>
          <w:sz w:val="20"/>
          <w:szCs w:val="20"/>
          <w:color w:val="auto"/>
        </w:rPr>
      </w:pPr>
    </w:p>
    <w:p>
      <w:pPr>
        <w:ind w:right="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commercialization of the bempedoic acid / ezetimibe combination tablet in the U.S. and Europe and in other territories, depends on the continued availability of ezetimibe.</w:t>
      </w:r>
    </w:p>
    <w:p>
      <w:pPr>
        <w:spacing w:after="0" w:line="14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bempedoic acid / ezetimibe combination tablet is dependent on the continued availability of ezetimibe in the marketplace, and there can be no assurance that the current availability of ezetimibe will continue. The producers of ezetimibe are under no obligation to continue producing, commercializing or making ezetimibe available to patients, or to continue producing ezetimibe in any particular quantity, which could prevent our ability to obtain ezetimibe. For example, such producers may encounter manufacturing or other production issues and fail to produce enough ezetimibe, and this could cause our commercialization efforts to fail or be significantly delayed.</w:t>
      </w:r>
    </w:p>
    <w:p>
      <w:pPr>
        <w:spacing w:after="0" w:line="167"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reliance on sole source third-party suppliers could harm our ability to commercialize bempedoic acid and the bempedoic acid / ezetimibe combination tablet or any drug candidates that may be approved in the future.</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scaled up our manufacturing process for bempedoic acid and the bempedoic acid / ezetimibe combination tablet in order to meet our estimated commercial requirements. We do not currently own or operate manufacturing facilities for the production of bempedoic acid and the bempedoic acid / ezetimibe combination tablet or any future drug candidates or future approved drugs. We may rely on sole source third-party suppliers to manufacture and supply bempedoic acid, the bempedoic acid / ezetimibe combination tablet, or future drug candidates which may not be able to produce sufficient inventory to meet commercial demand in a cost-efficient, timely manner, or at all. Our third-party suppliers may not be required to, or may be unable to, provide us with any guaranteed minimum production levels or have sufficient dedicated capacity for our drugs. As a result, there can be no assurances that we will be able to obtain sufficient quantities of bempedoic acid and the bempedoic acid / ezetimibe combination tablet or any drug candidates that may be approved in the future, which could have a material adverse effect on our business as a whole.</w:t>
      </w:r>
    </w:p>
    <w:p>
      <w:pPr>
        <w:spacing w:after="0" w:line="173"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received marketing approval for bempedoic acid and the bempedoic acid / ezetimibe combination tablet in the U.S. and Europe and other territories in Asia, and even if we receive such approval in other markets, we may still face future development, ongoing regulatory oversight and regulatory difficulties.</w:t>
      </w:r>
    </w:p>
    <w:p>
      <w:pPr>
        <w:spacing w:after="0" w:line="16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Even though we have received marketing approval for bempedoic acid and the bempedoic acid / ezetimibe combination tablet in the U.S. and Europe and other territories in Asia, and even if we receive such approval in other markets, regulatory authorities may still impose significant restrictions on bempedoic acid or the bempedoic acid / ezetimibe combination tablet’s indicated uses or marketing or impose ongoing requirements for potentially costly post-approval studies. Bempedoic acid and the bempedoic acid / ezetimibe combination tablet will also be subject to ongoing FDA requirements governing the packaging, storage, labeling, sampling, advertising and promotion of the product, recordkeeping and submission of safety updates and other post-marketing information.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Accordingly, we and others with whom we work must continue to expend time, money, and effort in all areas of regulatory compliance, including manufacturing, production and quality control.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FDA has significant post-marketing regulatory authority, including, for example, the authority to require labeling changes based on new safety information and to require post-marketing studies or clinical studies to evaluate serious safety risks related to the use of a drug product. For example, 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 such as the FDA has imposed and we have agreed to for NEXLETOL and NEXLIZET. Specifically, as part of our NEXLETOL and NEXLIZET approval, the FDA required both a PK/PD and Phase 3 study evaluating bempedoic acid in patients with HeFH aged 10 years to less than 18 years, a worldwide descriptive study that collects prospective and retrospective data in women exposed to NEXLETOL and NEXLIZET during pregnancy to assess the risk of pregnancy and maternal complications, adverse effects on the developing fetus and neonate, and adverse effects on the infant through the first year of life, a lactation study to analyze milk in lactating women who have received therapeutic doses of NEXLETOL and NEXLIZET, and that we complete the CLEAR Outcomes CVOT trial.</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Discovery of previously unknown problems with a drug or the failure to comply with applicable FDA requirements can have negative consequences, including adverse publicity, judicial, or administrative enforcement, FDA Form 483, untitled or warning letters from the FDA, mandated corrective advertising or communications with doctors, total or partial suspension of production or distribution, injunctions, fines, refusals of government contracts, debarment, restitution, disgorgement of profits or civil or criminal investigations and penalties, among others.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 requirements, including those resulting from new legislation, may be established, or the FDA's policies may change, which could delay or prevent regulatory approval of our drug candidates under development.</w:t>
      </w:r>
    </w:p>
    <w:p>
      <w:pPr>
        <w:spacing w:after="0" w:line="179"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EMA and other foreign regulatory authorities may impose similar requirements on bempedoic acid or the bempedoic acid / ezetimibe combination tablet as those described above with respect to the FDA.</w:t>
      </w:r>
    </w:p>
    <w:p>
      <w:pPr>
        <w:spacing w:after="0" w:line="13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Manufacturers of drug products and their facilities are subject to continual review and periodic unannounced inspections by the FDA and other regulatory authorities for compliance with current cGMP and other regulations.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if we or a regulatory agency discover problems with bempedoic acid product, the bempedoic acid / ezetimibe combination tablet, or any future product candidate or future approved drugs, such as adverse events of unanticipated severity or frequency, or problems with the facility where such drug or product candidates are manufactured, a regulatory agency may impose restrictions on such drug products or product candidates, the manufacturer or us, including requiring withdrawal of bempedoic acid or the bempedoic acid / ezetimibe combination tablet, or future approved drug, from the market or suspension of manufacturing. Further, on December 29, 2022, Congress enacted the Consolidated Appropriations Act of 2023, which included the Food and Drug Omnibus Reform Act, or FDORA. Under FDORA, sponsors of approved drugs must provide 6 months notice to the FDA of any changes in marketing status, or for discontinuing or interrupting supply of certain drugs, including the withdrawal of a drug, and failure to do so could result in a letter citing such failure to comply and public posting of such letter and redacted company response which could damage the company's reputation.</w:t>
      </w:r>
    </w:p>
    <w:p>
      <w:pPr>
        <w:spacing w:after="0" w:line="209"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7"/>
          <w:szCs w:val="17"/>
          <w:color w:val="auto"/>
        </w:rPr>
        <w:t>If we, the bempedoic acid product or the bempedoic acid / ezetimibe combination tablet, or future product candidates, or the manufacturing facilities for such products fail to comply with applicable regulatory requirements, a regulatory agency may, among other things:</w:t>
      </w:r>
    </w:p>
    <w:p>
      <w:pPr>
        <w:spacing w:after="0" w:line="190"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FDA Forms 483s, warning letters or untitled letters;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an injunction or impose civil or criminal penalties or monetary fines;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withdraw marketing approval;</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any ongoing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refuse to approve pending applications or supplements to applications submitted by us;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impose restrictions on operations, including costly new manufacturing requirements;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seize or detain products, refuse to permit the import or export of products, or request that we initiate a product recall.</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 making process, any of which could adversely impact our business and operations.</w:t>
      </w:r>
    </w:p>
    <w:p>
      <w:pPr>
        <w:spacing w:after="0" w:line="199"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the FDA, EMA or other comparable foreign regulatory authorities approve generic or other versions of bempedoic acid or the bempedoic acid / ezetimibe combination tablet, the sales of our approved products could be adversely affected.</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Once an NDA is approved, the product covered thereby becomes a “reference listed drug” in the FDA’s publication, “Approved Drug Products with Therapeutic Equivalence Evaluations,” commonly known as the Orange Book. Under the Hatch-Waxman Act to the FDCA, a company may seek approval of generic versions of reference listed drugs through submission of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Under the Hatch-Waxman Act, a company may also submit an NDA under Section 505(b)(2) of the FDCA that references the FDA’s prior approval of the innovator product. A 505(b)(2) NDA product may be for a new or improved version of the original innovator product. The Hatch-Waxman Act also provide for certain periods of regulatory exclusivity, which preclude FDA approval (or in some circumstances, FDA filing and review) of an ANDA or 505(b)(2) NDA until any applicable period of non-patent exclusivity for the reference listed drug has expired. For example, a new drug containing an NCE, may be eligible for five years of marketing exclusivity in the United States following regulatory approval if that drug is classified as an NCE. A drug can be classified as a NCE if the FDA has not previously approved any other drug containing the same active moiety.</w:t>
      </w:r>
    </w:p>
    <w:p>
      <w:pPr>
        <w:spacing w:after="0" w:line="20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 addition to the benefits of regulatory exclusivity, an innovator NDA holder may have patents claiming the active ingredient, product formulation or an approved use of the drug, which would be listed in the Orange Book. If there are patents listed in the Orange Book for a product, an ANDA or 505(b)(2) applicant that seeks to market its product before expiration of the innovator drug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NDA is stayed for up to 30 months, or as lengthened or shortened by a court.</w:t>
      </w:r>
    </w:p>
    <w:p>
      <w:pPr>
        <w:spacing w:after="0" w:line="2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7"/>
          <w:szCs w:val="17"/>
          <w:color w:val="auto"/>
        </w:rPr>
        <w:t>Accordingly, competitors could file ANDAs for generic versions or 505(b)(2) NDAs that reference our NEXLETOL and NEXLIZET products, which were granted marketing approval by the FDA on February 21, 2020, and February 26, 2020, respectively. For example, given that NEXLETOL was granted market exclusivity by the FDA on February 21, 2020, an ANDA or 505(b)(2) NDA referencing our NEXLETOL NDA may not be submitted to the FDA until the expiration of five years, e.g., February 21, 2025, unless the submission is accompanied by a Paragraph IV certification that a patent covering the reference listed drug is either invalid or will not be infringed by the generic or 505(b)(2) product, in which case the applicant may submit its application four years following approval of the reference listed drug, e.g., February 21, 2024, for NEXLETOL. Competitors may seek to launch generic or 505(b)(2) versions of NEXLETOL following the expiration of the applicable exclusivity period for NEXLETOL, even if we still have regulatory exclusivity and/or patent protection for NEXLETOL, and the same could happen for any of our other drug products upon approval.</w:t>
      </w:r>
    </w:p>
    <w:p>
      <w:pPr>
        <w:spacing w:after="0" w:line="19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19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Under the Hatch-Waxman Act to the Federal Food, Drug, and Cosmetic Act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spacing w:after="0" w:line="1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its affiliate); Dr. Reddy’s Laboratories Inc. (along with its affiliate, collectively, “Dr. Reddy’s Laboratories”); Hetero USA Inc. (along with its affiliates, collectively, “Hetero USA”); Micro Labs USA Inc. (along with its affiliate, collectively, “Micro Labs”); MSN Pharmaceuticals Inc. (along with an affiliate); Renata Limited (“Renata”);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w:t>
      </w:r>
    </w:p>
    <w:p>
      <w:pPr>
        <w:spacing w:after="0" w:line="20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The Company subsequently reached settlement agreements with Micro Labs, Hetero USA, Accord Healthcare Inc., Dr. Reddy’s Laboratories, and Alkem Laboratories Ltd. in May 2025, June 2025, July 2025, October 2025, and February 2026, respectively. Each settlement agreement resolved the patent litigation brought by the Company against the particular ANDA Filer, each of which has agreed not to market a generic version of NEXLETOL and/or NEXLIZET, as applicable, in the United States prior to April 19, 2040, unless certain circumstances customarily included in these types of agreements occur. With the settlement with Dr. Reddy’s Laboratories in October 2025, there are no remaining challenges regarding the validity or infringement of U.S Patent No. 7,335,799 in the pending patent litigation with the remaining ANDA filers. Certain of the Company’s patents that remain subject to the pending patent litigation are scheduled to expire in March 2036, while others are scheduled to expire in June 2040.</w:t>
      </w:r>
    </w:p>
    <w:p>
      <w:pPr>
        <w:spacing w:after="0" w:line="20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pending patent litigation against the remaining ANDA Filers (Aurobindo Pharma Limited (along with an affiliate); MSN Pharmaceuticals Inc. (along with an affiliate); Renata (along with an affiliate); and Sandoz Inc.) is ongoing, and there can be no assurance whether such ongoing patent litigation will allow a generic version of NEXLETOL and/or NEXLIZET, as applicable, to be marketed in the U.S. prior to April 19, 2040. The trial is anticipated to begin no earlier than January 2027, but no trial date has been set.</w:t>
      </w:r>
    </w:p>
    <w:p>
      <w:pPr>
        <w:spacing w:after="0" w:line="19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In January 2026, Renata notified the Company that it had filed an ANDA with the FDA seeking approval of a generic version of NEXLIZET in the United States (the “2026 Renata ANDA”). The 2026 Renata ANDA is in addition to the ANDA that Renata had previously filed with respect to NEXLETOL, for which the pending patent litigation described above is ongoing. Under the Hatch-Waxman Act, the Company had 45 days from receipt of the 2026 Renata ANDA notice letter to commence patent infringement lawsuits against Renata in a federal district court to trigger a stay precluding the FDA’s approval of the 2026 Renata ANDA from being effective any earlier than 7.5 years from the date of approval of the NEXLIZET new drug application or entry of judgment holding the patents invalid, unenforceable, or not infringed, whichever occurs first. In March 2026, the Company filed a patent infringement lawsuit under the Hatch-Waxman Act in the United States District Court, District of New Jersey, against Renata. The Company’s complaint alleges that by filing the 2026 Renata ANDA, Renata has infringed NEXLIZET’s Orange Book patents included in its Paragraph IV certifications, and seeks an injunction preventing the FDA from granting final approval of the 2026 Renata ANDA before the expiration of the asserted patents, and a permanent injunction to prevent Renata from commercializing a generic version of NEXLIZET until the expiration of the asserted patents. No trial date has been set.</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success of such litigation will depend on the strength of the patents covering NEXLETOL or NEXLIZET, as applicable, and our ability to prove infringement. The outcome of such litigation will be inherently uncertain and may result in potential loss of market exclusivity for NEXLETOL and/or NEXLIZET. Competition that NEXLETOL or NEXLIZET could face from an approved generic and other versions of NEXLETOL or NEXLIZET could materially and adversely affect our future revenue, profitability, and cash flows and substantially limit our ability to obtain a return on the investments we have made in developing NEXLETOL and NEXLIZET. Furthermore, the FTC, has brought lawsuits to challenge ANDA litigation settlements as anti-competitive. If we settle any ANDA litigation, we may also face an FTC challenge with respect to the related settlement which may result in additional expense or penalty.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1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the False Claims Act, laws and regulations related to the reporting of payments to physicians and teaching hospitals, and HIPAA, which may constrain the business or financial arrangements and relationships through which such companies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5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 xml:space="preserve">Additionally, we are subject to state and foreign equivalents of each of the healthcare laws described in the section entitled </w:t>
      </w:r>
      <w:r>
        <w:rPr>
          <w:rFonts w:ascii="Times New Roman" w:cs="Times New Roman" w:eastAsia="Times New Roman" w:hAnsi="Times New Roman"/>
          <w:sz w:val="17"/>
          <w:szCs w:val="17"/>
          <w:i w:val="1"/>
          <w:iCs w:val="1"/>
          <w:color w:val="auto"/>
        </w:rPr>
        <w:t>“Business – Other Healthcare Laws”,</w:t>
      </w:r>
      <w:r>
        <w:rPr>
          <w:rFonts w:ascii="Times New Roman" w:cs="Times New Roman" w:eastAsia="Times New Roman" w:hAnsi="Times New Roman"/>
          <w:sz w:val="17"/>
          <w:szCs w:val="17"/>
          <w:color w:val="auto"/>
        </w:rPr>
        <w:t xml:space="preserve"> among others, some of which may be broader in scope and may apply regardless of the payor. For instance, state anti-kickback and false claims laws may apply to items or services reimbursed by any third-party payor, including commercial insurers or patients. Laws related to insurance fraud may provide claims involving private insurers. Further data privacy and security laws and regulations in foreign jurisdictions that may be more stringent than those in the U.S. (such as the EU, which adopted the GDPR, which became effective in May 2018). Analogous state laws may additionally govern the privacy and security of health information in certain circumstances, many of which differ from each other in significant ways and may not have the same effect.</w:t>
      </w:r>
    </w:p>
    <w:p>
      <w:pPr>
        <w:spacing w:after="0" w:line="2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While we currently do not do so it is possible that we may in the future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w:t>
      </w:r>
    </w:p>
    <w:p>
      <w:pPr>
        <w:spacing w:after="0" w:line="1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increase our expenses, and reduce the availability of foundation support for our patients who need assistance. Further,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w:t>
      </w:r>
    </w:p>
    <w:p>
      <w:pPr>
        <w:spacing w:after="0" w:line="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financial condition. Although a number of these and other proposed measures may require authorization through additional legislation to become effective, and the Trump administration may reverse or otherwise change these measures, both the Trump administration and Congress have indicated that they will continue to seek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legislative measures to control drug costs. We cannot predict how the implementation of and any further changes to these rules will affect our business.</w:t>
      </w:r>
    </w:p>
    <w:p>
      <w:pPr>
        <w:spacing w:after="0" w:line="24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often scrutinize interactions between healthcare companies and healthcare providers, which has led to a number of investigations, prosecutions, convictions and settlements in the healthcare industry. Ensuring business arrangements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with applicable healthcare laws, as well as responding to possible investigations by government authorities, can be time- and resource-consuming and can divert a company’s attention from the business.</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 failure to comply with any of these laws or regulatory requirements subjects entities to possible legal or regulatory action. Depending on the circumstances, failure to meet applicable regulatory requirements can result in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 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guidance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Formulary Coverage, Pricing, and Reimbursement policies could limit our ability to sell bempedoic acid or the bempedoic acid / ezetimibe combination tablet.</w:t>
      </w:r>
    </w:p>
    <w:p>
      <w:pPr>
        <w:spacing w:after="0" w:line="22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Sales of our products will depend, in part, on the extent to which our products will be covered and reimbursed by third-party payers, such as government health programs, commercial insurance and managed healthcare organizations. Adequate coverage and reimbursement from third party payers are critical to product acceptance. In the United States, the principal decisions about reimbursement for new medicines are typically made by the CMS, an agency within the HHS. CMS decides whether and to what extent our products will be covered and reimbursed under Medicare and private payors tend to follow CMS to a substantial degree.</w:t>
      </w:r>
    </w:p>
    <w:p>
      <w:pPr>
        <w:spacing w:after="0" w:line="10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Market acceptance and sales of bempedoic acid and the bempedoic acid / ezetimibe combination tablet will depend, in part, on the extent to which our products in the U.S. will be covered and reimbursed by third-party payors, such as government health care programs, commercial insurance, and managed healthcare organizations and may be affected by healthcare reform measures. See the section entitled “</w:t>
      </w:r>
      <w:r>
        <w:rPr>
          <w:rFonts w:ascii="Times New Roman" w:cs="Times New Roman" w:eastAsia="Times New Roman" w:hAnsi="Times New Roman"/>
          <w:sz w:val="17"/>
          <w:szCs w:val="17"/>
          <w:i w:val="1"/>
          <w:iCs w:val="1"/>
          <w:color w:val="auto"/>
        </w:rPr>
        <w:t>Business – Coverage, Reimbursement and Healthcare Reform</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Cost containment is a primary concern in the U.S. healthcare industry and elsewhere. Government authorities and these third-party payors have attempted to control costs by limiting coverage and the amount of reimbursement for particular medications. The U.S. federal government, state legislatures and foreign governments have shown significant interest in implementing cost-containment programs, including price controls, restrictions on reimbursement, utilization management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bempedoic acid and the bempedoic acid / ezetimibe combination tablet or a decision by a third-party payor to not cover bempedoic acid and the bempedoic acid / ezetimibe combination tablet could reduce physician usage of the products and could have a material adverse effect on our sales, results of operations and financial condition.</w:t>
      </w:r>
    </w:p>
    <w:p>
      <w:pPr>
        <w:spacing w:after="0" w:line="38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We cannot be sure that reimbursement will be available for bempedoic acid or the bempedoic acid / ezetimibe combination tablet and, if reimbursement is available, the level of such reimbursement. Reimbursement may impact the demand for, or the price of, bempedoic acid or the bempedoic acid / ezetimibe combination tablet. If reimbursement is not available or is available only at limited levels, we may not be able to successfully commercialize bempedoic acid or the bempedoic acid / ezetimibe combination tablet.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color w:val="auto"/>
        </w:rPr>
        <w:t>There may also be delays in obtaining coverage and reimbursement for newly approved drugs (of new indications for previously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21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addition, increasingly, third-party payors are requiring higher levels of evidence of the benefits and clinical outcomes of new technologies and are challenging prices. We cannot be sure that coverage will be available for any products or product candidate that we, or any future collaborator, commercialize and, if available, that the reimbursement rates will be adequate. Further, the net reimbursement for drug products may be subject to additional reductions if there are changes to laws that presently restrict imports of drugs from one country to another. An inability to promptly obtain coverage and adequate payment rates from both government-funded and private payors for any of our products or product candidates for which we, or any future collaborator, obtain regulatory approval could significantly harm our operating results, our ability to raise capital needed to commercialize products and our overall financial condition.</w:t>
      </w:r>
    </w:p>
    <w:p>
      <w:pPr>
        <w:spacing w:after="0" w:line="17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In some foreign countries, particularly in Canada, Australia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study that compares the cost-effectiveness of bempedoic acid and the bempedoic acid / ezetimibe combination tablet with other available therapies. If reimbursement for bempedoic acid or the bempedoic acid / ezetimibe combination tablet is unavailable in any country in which we seek reimbursement, if it is limited in scope or amount, if it is conditioned upon our completion of additional clinical studies, or if pricing is set at unsatisfactory levels, our operating results could be materially adversely affected.</w:t>
      </w:r>
    </w:p>
    <w:p>
      <w:pPr>
        <w:spacing w:after="0" w:line="171"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Recent federal legislation may increase pressure to reduce prices of certain pharmaceutical products paid for by Medicare, which could materially adversely affect our revenue and our results of operations.</w:t>
      </w:r>
    </w:p>
    <w:p>
      <w:pPr>
        <w:spacing w:after="0" w:line="14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In the United States,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drug products, we expect that there will be additional pressure to reduce costs. These cost reduction initiatives and other provisions of this legislation could decrease the scope of coverage and the price that we receive for any approved products and could seriously harm our business.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This legislation may pose an even greater risk to bempedoic acid and the bempedoic acid / ezetimibe combination tablet than some other pharmaceutical products because a significant portion of the patient population for bempedoic acid and the bempedoic acid / ezetimibe combination tablet is over 65 years of age and, therefore, many such patients will be covered by Medicare.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predict the reform initiatives that may be adopted in the future or whether initiatives that have been adopted will be repealed or modified. See “</w:t>
      </w:r>
      <w:r>
        <w:rPr>
          <w:rFonts w:ascii="Times New Roman" w:cs="Times New Roman" w:eastAsia="Times New Roman" w:hAnsi="Times New Roman"/>
          <w:sz w:val="17"/>
          <w:szCs w:val="17"/>
          <w:i w:val="1"/>
          <w:iCs w:val="1"/>
          <w:color w:val="auto"/>
        </w:rPr>
        <w:t>Business</w:t>
      </w:r>
    </w:p>
    <w:p>
      <w:pPr>
        <w:spacing w:after="0" w:line="20"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7"/>
          <w:szCs w:val="17"/>
          <w:i w:val="1"/>
          <w:iCs w:val="1"/>
          <w:color w:val="auto"/>
        </w:rPr>
        <w:t>– Coverage, Reimbursement and Healthcare Reform</w:t>
      </w:r>
      <w:r>
        <w:rPr>
          <w:rFonts w:ascii="Times New Roman" w:cs="Times New Roman" w:eastAsia="Times New Roman" w:hAnsi="Times New Roman"/>
          <w:sz w:val="17"/>
          <w:szCs w:val="17"/>
          <w:color w:val="auto"/>
        </w:rPr>
        <w:t>” for more discussion on healthcare reform efforts. The continuing efforts of the government, insurance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companies, managed care organizations and other payors of healthcare services to contain or reduce costs of healthcare may adversely affect:</w:t>
      </w:r>
    </w:p>
    <w:p>
      <w:pPr>
        <w:spacing w:after="0" w:line="216" w:lineRule="exact"/>
        <w:rPr>
          <w:sz w:val="20"/>
          <w:szCs w:val="20"/>
          <w:color w:val="auto"/>
        </w:rPr>
      </w:pPr>
    </w:p>
    <w:p>
      <w:pPr>
        <w:ind w:left="620" w:hanging="307"/>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products and any products for which we may obtain regulatory approval;</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products;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coverage and reimbursement approval for a product;</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revenues and achieve or maintain profitability;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taxes that we are required to pay.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our products and any future approved product. Recent CMS proposals, including the GLOBE, GUARD, and GENEROUS, could materially impact the Company’s revenue.</w:t>
      </w:r>
    </w:p>
    <w:p>
      <w:pPr>
        <w:spacing w:after="0" w:line="19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Finally, the availability of generic LDL-C lowering treatments may also substantially reduce the level of reimbursement for branded counterparts or other competitive LDL-C lowering therapies, such as bempedoic acid or the bempedoic acid / ezetimibe combination tablet. If we fail to successfully secure and maintain adequate reimbursement coverage for our products or are significantly delayed in doing so, we will have difficulty achieving market acceptance of our products and our business will be harmed.</w:t>
      </w:r>
    </w:p>
    <w:p>
      <w:pPr>
        <w:spacing w:after="0" w:line="12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participate in the MDRP, the 340B drug pricing program, and the VA’s FSS pricing program. Under the MDRP,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MDRP. These data include the AMP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 See the section entitled “Business – Coverage, Reimbursement and Healthcare Reform.”</w:t>
      </w:r>
    </w:p>
    <w:p>
      <w:pPr>
        <w:spacing w:after="0" w:line="20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The ACA made significant changes to the MDRP. CMS issued a final regulation, which became effective on April 1, 2016, to implement the changes to the MDRP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Federal law requires that any company that participates in the MDRP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Medicaid rebate amount for the covered outpatient drug as calculated under the MDRP, and in general, products subject to Medicaid price reporting and rebate liability are also subject to the 340B ceiling price calculation and discount requirement. Any additional future changes to the definition of AMP and the Medicaid rebate amount under the ACA, other legislation, or in regulation could affect our 340B ceiling price calculations and negatively impact our results of operations.</w:t>
      </w:r>
    </w:p>
    <w:p>
      <w:pPr>
        <w:spacing w:after="0" w:line="20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MDRP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20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have knowingly and intentionally charged 340B covered entities more than the statutorily mandated ceiling price. We cannot assure you that our submissions will not be found by CMS or HRSA to be incomplete or incorrect.</w:t>
      </w:r>
    </w:p>
    <w:p>
      <w:pPr>
        <w:spacing w:after="0" w:line="1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collection is governed by restrictive regulations governing the use, processing and cross-border transfer of personal information.</w:t>
      </w:r>
    </w:p>
    <w:p>
      <w:pPr>
        <w:spacing w:after="0" w:line="17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In the event we continue to enroll subjects in our ongoing or future clinical trials, we may be subject to additional privacy restrictions. The collection, use, storage, disclosure, transfer, or other processing of personal data regarding individuals in the EEA, including personal health data, is subject to the EU General Data Protection Regulation 2016/679, or EU GDPR, which became effective on May 25, 2018. Following the UK's withdrawal from the EU on January 31, 2020 and the end of the transitional arrangements agreed between the U.K. and EU as of January 1, 2021, the EU GDPR has been incorporated into U.K. domestic law by virtue of section 3 of the EU (Withdrawal) Act 2018 and amended by the Data Protection, Privacy and Electronic Communications (Amendments etc.) (EU Exit) Regulations 2019, or UK GDPR and, together with the EU GDPR, “GDPR”). The GDPR is wide-ranging in scope and imposes numerous requirements on companies that process personal data, including stricter requirements relating to processing of special categories of personal data (such as health data), ensuring there is a legal basis or condition to justify the processing of personal data, stricter requirements relating to obtaining consent of individuals, expanded disclosures about how personal information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The GDPR also imposes strict rules on the transfer of personal data to countries outside the EEA or the U.K., including the United States (see below), and permits data protection authorities to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national laws of EU Member States which may partially deviate from the EU GDPR and impose different and more restrictive obligations from country to country.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and U.K. activities.</w:t>
      </w:r>
    </w:p>
    <w:p>
      <w:pPr>
        <w:spacing w:after="0" w:line="21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The U.K. GDPR, the U.K. Data Protection Act 2018 and the Data (Use and Access) Act 2025 set out the U.K.'s data protection regime, which is independent from but, currently, aligned to the EU's data protection regime. The EC has adopted an adequacy decision in respect of transfers of personal data to the U.K. which has recently been extended for a six year period to December 27, 2031. Similarly, the U.K. has determined that it considers all of the EEA to be adequate for the purposes of data protection. This ensures that data flows between the U.K. and the EEA remain unaffected.</w:t>
      </w:r>
    </w:p>
    <w:p>
      <w:pPr>
        <w:spacing w:after="0" w:line="1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In addition, we must also ensure that we maintain adequate safeguards to enable the transfer of personal data outside of the EEA or the U.K., in particular to the U.S., in compliance with GDPR. In some cases, we rely upon the EC's approved standard contractual clauses, or the SCCs to legitimize transfers of personal data out of the EEA from controllers or processors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established outside the EEA (and not subject to the GDPR). The U.K. is not subject to the EC's standard contractual clauses but has published its own transfer mechanism, the International Data Transfer Agreement, which enables transfers from the U.K. Changes with respect to any of these matters may lead to additional costs and increase our overall risk exposure. The EU and U.S. have adopted its adequacy decision for the EU U.S. Data Privacy Framework, or the Framework, which entered into force on July 11, 2023. This Framework provides that the protection of personal data transferred between the EU and the U.S. is comparable to that offered in the EU. Moreover, on September 21, 2023, the U.K. Government adopted the Data Protection (Adequacy) Regulations 2023, also referred to as the “UK-U.S. Data Bridge”, which will allow companies to transfer personal data from the U.K. to the U.S. on the basis of the EU-U.S. Data Privacy Framework. This provides a further avenue to ensuring transfers to the US are carried out in line with GDPR. The Framework could be challenged like its predecessor frameworks. We will be required to implement these new safeguards in the event these safeguards are used as our basis for conducting restricted data transfers under the EU GDPR and U.K. GDPR and doing so may require significant effort and cost. If relying on the SCCs or U.K. IDTA for data transfers, we may also be required to carry out transfer impact assessments to assess whether the recipient is subject to local laws which allow public authority access to personal data.</w:t>
      </w:r>
    </w:p>
    <w:p>
      <w:pPr>
        <w:spacing w:after="0" w:line="20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7"/>
          <w:szCs w:val="17"/>
          <w:color w:val="auto"/>
        </w:rPr>
        <w:t>In the EEA, the NIS 2 Directive, or the NIS 2, is replacing the cybersecurity legal framework under the current NIS framework, aiming to ensure a high level of cybersecurity in the region. NIS 2 brings new medium and large organisations providing services in the EEA within scope of the legal framework. It extends to additional sectors and expands the list of in-scope healthcare organisations, including to certain providers engaged in research and development of medicinal products. The new regime imposes direct obligations on management in respect of an in-scope organization's compliance with NIS 2, requires covered organisations to put in place certain cyber risk management measures, strengthens incident reporting requirements and provides supervisory authorities with a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spacing w:after="0" w:line="19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In the United States, state privacy laws may also have an impact on our business; for example, California enacted the CCPA, which created broad individual privacy rights for California consumers (as defined in the law) and placed stringent privacy and security obligations on business covered by the law. This law, which took effect on January 1, 2020 and became enforceable by the California Attorney General on July 1, 2020, required covered companies to provide detailed disclosures to consumers about such companies' data collection, use and sharing practices, allowed such consumers to opt-out of certain sales or sharing of their personal information. The CCPA also provided for civil penalties for violations and a private right of action for certain data breaches involving personal information, which is expected to increase the likelihood of, and risks associated with, data breach litigation. While there is an exception for protected health information that is subject to HIPAA and clinical trial regulations, other personal information that we handle could be subject to CCPA.</w:t>
      </w:r>
    </w:p>
    <w:p>
      <w:pPr>
        <w:spacing w:after="0" w:line="2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As of January 1, 2023, amendments to the CCPA introduced by the CPRA imposed additional obligations on companies covered by the legislation, including by expanding consumers’ rights with respect to certain sensitive personal information. The amendments introduced by the CPRA also created a new state agency that is vested with authority to implement and enforce the CCPA. The effects of the CCPA are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86" w:lineRule="exact"/>
        <w:rPr>
          <w:sz w:val="20"/>
          <w:szCs w:val="20"/>
          <w:color w:val="auto"/>
        </w:rPr>
      </w:pPr>
    </w:p>
    <w:p>
      <w:pPr>
        <w:jc w:val="both"/>
        <w:ind w:right="220"/>
        <w:spacing w:after="0" w:line="245" w:lineRule="auto"/>
        <w:rPr>
          <w:sz w:val="20"/>
          <w:szCs w:val="20"/>
          <w:color w:val="auto"/>
        </w:rPr>
      </w:pPr>
      <w:r>
        <w:rPr>
          <w:rFonts w:ascii="Times New Roman" w:cs="Times New Roman" w:eastAsia="Times New Roman" w:hAnsi="Times New Roman"/>
          <w:sz w:val="17"/>
          <w:szCs w:val="17"/>
          <w:color w:val="auto"/>
        </w:rPr>
        <w:t>Following California, numerous other states have enacted or proposed laws similar to the CCPA. In addition to these comprehensive laws and proposals, other states have passed or are considering more limited privacy laws that are specifically focused upon the protection of consumer health data, such as Washington’s My Health My Data Act, which became effective on March 31, 2024 and contains a private right of action, further increasing the relevant compliance risk.</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w:t>
      </w:r>
    </w:p>
    <w:p>
      <w:pPr>
        <w:spacing w:after="0" w:line="20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existence of comprehensive privacy laws in different states in the country will make our compliance obligations more complex and costly and may increase the likelihood that we may be subject to enforcement actions or otherwise incur liability for noncompliance. The effects of state privacy laws are potentially significant and may require us to modify our data processing practices and policies and to incur substantial costs and potential liability in an effort to comply with such legislation. These various privacy and security laws may impact our business activities, including our identification of research subjects, relationships with business partners and ultimately the marketing and distribution of our products. State laws are changing rapidly and there have been discussions in the U.S. Congress of a new comprehensive federal data privacy law to which we could become subject, if such laws are enacted.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Regulators and legislators in the U.S. are also increasingly scrutinizing and restricting certain personal data transfers and transactions involving foreign countries. For example, the Department of Justice’s Bulk Data Rule, which went into effect April 8, 2025,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Compliance with U.S. and international data protection and data security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Failure to comply with U.S. and international data protection and data security laws and regulations could result in government and/or data protection authority enforcement actions (which could include civil or criminal penalties), private litigation or adverse publicity and could negatively affect our financial condition, operating results and prospects,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 as well as significant fines, sanctions, awards, injunctions, penalties or judgments.</w:t>
      </w:r>
    </w:p>
    <w:p>
      <w:pPr>
        <w:spacing w:after="0" w:line="175" w:lineRule="exact"/>
        <w:rPr>
          <w:sz w:val="20"/>
          <w:szCs w:val="20"/>
          <w:color w:val="auto"/>
        </w:rPr>
      </w:pPr>
    </w:p>
    <w:p>
      <w:pPr>
        <w:ind w:right="8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including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In addition, AI technologies, including generative AI tools, may create content, analyses or recommendations without human intervention that take or suggest actions based on incomplete or inaccurate data, “hallucinatory” inferences, or flawed training inputs or contain copyrighted or other protected material, and if our customers or others use this flawed or protected content or materials to their detriment, we may be exposed to brand or reputational harm, competitive harm, and/or legal liability.</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or AI Act which has entered into force on August 1, 2024 and, with some exceptions, becomes effective 24 months thereafter (most provisions of which will become effective on August 2, 2026). This legislation imposes significant obligations on providers and deployers of high risk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20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Likewise, in the U.S., the regulatory environment is complex and uncertain. President Trump's Executive Order "Ensuring a National Policy Framework for Artificial Intelligence," effective December 11, 2025, tasks the U.S. Department of Justice with reviewing state laws regulating AI, and instructs the Department of Commerce to develop a national AI strategy. At the same time, several states, including Colorado and California, passed laws that regulate various facets of AI, some of which have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taken effect and will continue to take effect through 2026 and beyond. These laws address a wide range of AI-related topics, including consequential decisions, transparency, training data, among others, and it remains unclear which requirements, if any, will be superseded by the Executive Order. In addition, there continues to be uncertainty regarding the application of existing federal and state legal frameworks to uses and development of AI, and legal norms and market standards regarding AI continue to evolve. For example, various federal regulators have issued guidance and focused enforcement efforts on the use of AI in regulated sectors. The U.S. Food and Drug Administration, for example, issued guidance on the use of artificial intelligence in medical devices, requiring detailed risk management and review processes to obtain approvals. If we develop or use AI systems that are governed by these laws or regulation, we will need to meet higher standards of data quality, transparency,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20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The rapid evolution of artificial intelligence may require the application of significant resources to help ensure that artificial intelligence is implemented in accordance with applicable law and regulation and in a socially responsible manner and to minimize any real or perceived unintended harmful impacts.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cause us to breach applicable laws and regulations, and adversely impact our business.</w:t>
      </w:r>
    </w:p>
    <w:p>
      <w:pPr>
        <w:spacing w:after="0" w:line="20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Further, any third-party AI technologies leveraged in our products and services may not be available on commercially reasonable terms or at all and any loss of rights to use such technologies may significantly increase our expenses or otherwise disrupt or delay the provisioning of our products and services to customers.</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Additionally, the hardware, software, data and cloud computing platforms that we rely on, including, for example, the large language models leveraged in our AI systems, may not continue to be available at reasonable prices, on commercially reasonable terms or at all. Any loss of the right to use any of these hardware, software, data or cloud computing platforms could significantly increase our expenses and disrupt or otherwise result in delays in the provisioning of our services until equivalent technology is either developed by us, or, if available, is identified, obtained through purchase or license and integrated into our services, and no assurance can be provided that such equivalent technology would be developed or obtained in a timely manner or at all. Moreover, as a result of the increasing use and deployment of AI technologies, infrastructure capacity requirements, including network capacity and, computing power and energy requirements, may increase which could lead to an increase in serve interruptions we experience.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retain members of our executive management team, and to attract, retain and motivate qualified personnel.</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are highly dependent on members of our senior management team. We have entered into employment agreements with these individuals, but any employee may terminate his or her employment with us. Although we do not have any reason to believe that we will lose the services of these individuals in the foreseeable future, the loss of the services of these individuals might impede the achievement of our research, development and commercialization objectives.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Recruiting and retaining qualified scientific personnel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studies may make it more challenging to recruit and retain qualified scientific personnel.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Risks Related to Sales, Marketing, and Competition</w:t>
      </w:r>
    </w:p>
    <w:p>
      <w:pPr>
        <w:spacing w:after="0" w:line="177"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market is subject to intense competition. If we are unable to compete effectively, our opportunity to generate revenue from the sale of bempedoic acid or the bempedoic acid / ezetimibe combination tablet in the U.S., in Europe and in other territories will be materially adversely affected.</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The LDL-C and cardiovascular risk lowering therapies market is highly competitive and dynamic and dominated by the sale of inexpensive generic versions of statins. Our success will depend, in part, on our ability to obtain a share of the market, initially, for patient populations consistent with the labeling of our products in jurisdictions where we obtain regulatory approval. Potential competitors in North America, Europe and elsewhere include major pharmaceutical companies, specialty pharmaceutical companies, biotechnology firms, universities and other research institutions and government agencies. Other pharmaceutical companies may develop LDL-C lowering or cardiovascular risk reducing therapies for patients that compete with bempedoic acid and the bempedoic acid / ezetimibe combination tablet that do not infringe the claims of our patents, pending patent applications or other proprietary rights, which could materially adversely affect our business and results of operations.</w:t>
      </w:r>
    </w:p>
    <w:p>
      <w:pPr>
        <w:spacing w:after="0" w:line="204" w:lineRule="exact"/>
        <w:rPr>
          <w:sz w:val="20"/>
          <w:szCs w:val="20"/>
          <w:color w:val="auto"/>
        </w:rPr>
      </w:pPr>
    </w:p>
    <w:p>
      <w:pPr>
        <w:ind w:right="680"/>
        <w:spacing w:after="0" w:line="272" w:lineRule="auto"/>
        <w:rPr>
          <w:sz w:val="20"/>
          <w:szCs w:val="20"/>
          <w:color w:val="auto"/>
        </w:rPr>
      </w:pPr>
      <w:r>
        <w:rPr>
          <w:rFonts w:ascii="Times New Roman" w:cs="Times New Roman" w:eastAsia="Times New Roman" w:hAnsi="Times New Roman"/>
          <w:sz w:val="17"/>
          <w:szCs w:val="17"/>
          <w:color w:val="auto"/>
        </w:rPr>
        <w:t>Lipid lowering and cardiovascular risk reducing therapies currently on the market that compete with bempedoic acid and the bempedoic acid / ezetimibe combination tablet include the following:</w:t>
      </w:r>
    </w:p>
    <w:p>
      <w:pPr>
        <w:spacing w:after="0" w:line="190"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Inexpensive generic versions of statins;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Inexpensive generic versions of ezetimibe, a cholesterol absorption inhibitor;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Injectable PCSK9 inhibitors such as Praluent® (alirocumab) and Repatha® (evolocumab), marketed by Regeneron/Sanofi and Amgen Inc. respectively;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Bile acid sequestrants such as Welchol® (colesevelam), marketed by Daiichi Sankyo Inc.;</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MTP inhibitors, such as JUXTAPID® (lomitapide), marketed by Amryt Pharma Plc.;</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Apo B Anti-Sense therapy, such as KYNAMRO® (mipomersen), marketed by Kastle Therapeutics LLC;</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Inexpensive generic versions of combination tablet therapies, such as ezetimibe and simvastatin;</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Triglyceride lowering therapy such as Vascepa® (icosapent ethyl), marketed by Amarin Corporation;</w:t>
      </w:r>
    </w:p>
    <w:p>
      <w:pPr>
        <w:spacing w:after="0" w:line="20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Small interfering RNA therapy, such as Leqvio® (inclisiran), marketed by Novartis; and</w:t>
      </w:r>
    </w:p>
    <w:p>
      <w:pPr>
        <w:spacing w:after="0" w:line="217"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lipid-lowering monotherapies (including cheaper generic versions), such as Tricor® (fenofibrate) and Niaspan® (niacin extended release), both of which are marketed by AbbVie, Inc.</w:t>
      </w:r>
    </w:p>
    <w:p>
      <w:pPr>
        <w:spacing w:after="0" w:line="177"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Several other pharmaceutical companies have other LDL-C lowering therapies in development that may be approved for marketing in the U.S. or outside of the U.S.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Many of our potential competitors have substantially greater financial, technical and human resources than we do and significantly greater experience discovering and developing drug candidates, obtaining FDA and other marketing approvals of products and commercializing those products. Accordingly, our competitors may be more successful than we may be in obtaining regulatory approval for drugs and achieving widespread market acceptance. Our competitors’ drugs may be more effective, or more effectively marketed and sold, than bempedoic acid or the bempedoic acid / ezetimibe combination tablet, and may render bempedoic acid or the bempedoic acid / ezetimibe combination tablet obsolete or non-competitive before we can recover the expenses of developing and commercializing it. The bempedoic acid and bempedoic acid / ezetimibe combination tablet may also compete with unapproved and off-label LDL-C lowering treatments, and following the expiration of additional patents covering the LDL-C lowering market, we may also face additional competition from the entry of new generic drugs. We anticipate that we will encounter intense and increasing competition as new drugs enter the market and advanced technologies become available.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3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The FDA and other regulatory agencies strictly regulate the promotional claims that may be made about prescription products, such as bempedoic acid or the bempedoic acid / ezetimibe combination tablet. In particular, a product may not be promoted for uses that are not approved by the FDA or other regulatory agencies as reflected in the product’s approved labeling. For instance, we received marketing approval for bempedoic acid and the bempedoic acid / ezetimibe combination tablet for cardiovascular risk reduction and expanded LDL-C lowering in both primary and secondary prevention patients. Physicians may in their practice prescribe bempedoic acid and the bempedoic acid / ezetimibe combination tablet to their patients in a manner that is inconsistent with the approved label. If we are found to have promoted such off-label uses, we may become subject to public advisory or enforcement letters, reputational damage, and significant liability. The federal government has levied large civil and criminal fines against companies for alleged improper promotion under both the Federal Anti-kickback Statute and False Claims Act and has enjoined several companies from engaging in off-label promotion. Further, FDA's OPDP actively scrutinizes promotional communications, including digital and social media; any materials that are false, misleading, or promote unapproved uses can lead to enforcement actions and could necessitate corrective communications. The FDA has also requested that companies enter into consent decrees, corporate integrity agreements or permanent injunctions under which specified promotional conduct is changed or curtailed. OPDP has increased efforts to monitor promotional activities, particularly those directed to consumer and patient audiences. If we cannot successfully manage the promotion of bempedoic acid and the bempedoic acid / ezetimibe combination tablet across various promotional media and outreach activities to ensure it remains consistent with its approved labeling, we could become subject to significant liability, which would materially adversely affect our business and financial condition.</w:t>
      </w:r>
    </w:p>
    <w:p>
      <w:pPr>
        <w:spacing w:after="0" w:line="215"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received marketing approval for bempedoic acid and the bempedoic acid / ezetimibe combination tablet in the U.S. and Europe and several Asian territories, we may never receive regulatory approval to market bempedoic acid or the bempedoic acid / ezetimibe combination tablet in other territories or markets around the world.</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order to market any product outside of the U.S. and Europe, we must establish and comply with the numerous and varying efficacy, safety and other regulatory requirements of the countries in which we (or our partners) intend to market our product. Approval procedures vary among countries and can involve additional product candidate testing and additional administrative review periods. The time required to obtain approvals in other countries might differ from that required to obtain FDA or EMA approval. The marketing approval processes in other countries may include all of the risks detailed above regarding FDA approval in the U.S. as well as other risks, or vice versa. In particular, in many countries outside of the U.S. and Europe,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commercialize bempedoic acid or the bempedoic acid / ezetimibe combination tablet in such foreign markets. Any such impairment would reduce the size of our potential market, which could have a material adverse impact on our business, results of operations and prospects.</w:t>
      </w:r>
    </w:p>
    <w:p>
      <w:pPr>
        <w:spacing w:after="0" w:line="175"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received marketing approval for bempedoic acid and the bempedoic acid / ezetimibe combination tablet in the U.S. and Europe and several Asian territories, they may not achieve broad market acceptance, which would limit the revenue that we generate from their sales.</w:t>
      </w:r>
    </w:p>
    <w:p>
      <w:pPr>
        <w:spacing w:after="0" w:line="14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The commercial success of bempedoic acid or the bempedoic acid / ezetimibe combination tablet in the U.S., Europe and Asia, and, if approved, by other regulatory authorities, in other countries in which we (or our partners) pursue regulatory approval, will depend upon the awareness and acceptance of bempedoic acid and the bempedoic acid / ezetimibe combination tablet among the medical community, including physicians, patients and healthcare payors. Market acceptance of bempedoic acid and the bempedoic acid / ezetimibe combination tablet will depend on a number of factors, including, among others:</w:t>
      </w:r>
    </w:p>
    <w:p>
      <w:pPr>
        <w:spacing w:after="0" w:line="157" w:lineRule="exact"/>
        <w:rPr>
          <w:sz w:val="20"/>
          <w:szCs w:val="20"/>
          <w:color w:val="auto"/>
        </w:rPr>
      </w:pPr>
    </w:p>
    <w:p>
      <w:pPr>
        <w:ind w:left="620" w:right="240" w:hanging="307"/>
        <w:spacing w:after="0" w:line="272"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bempedoic acid and the bempedoic acid / ezetimibe combination tablet’s demonstrated ability to treat patients for LDL-C lowering, or bempedoic acid and the bempedoic acid / ezetimibe combination tablet’s ability to achieve CV risk reduction, as compared with other available therapies;</w:t>
      </w:r>
    </w:p>
    <w:p>
      <w:pPr>
        <w:spacing w:after="0" w:line="164" w:lineRule="exact"/>
        <w:rPr>
          <w:rFonts w:ascii="Times New Roman" w:cs="Times New Roman" w:eastAsia="Times New Roman" w:hAnsi="Times New Roman"/>
          <w:sz w:val="17"/>
          <w:szCs w:val="17"/>
          <w:color w:val="auto"/>
        </w:rPr>
      </w:pPr>
    </w:p>
    <w:p>
      <w:pPr>
        <w:ind w:left="620" w:right="32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convenience and ease of administration of bempedoic acid and the bempedoic acid / ezetimibe combination tablet, including as compared with other treatments for patients for LDL-C lowering or CV risk reduction;</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adverse side effects such as muscle pain or weakness;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8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labeling approved for bempedoic acid or the bempedoic acid / ezetimibe combination tablet by the FDA or other regulatory authorities;</w:t>
      </w:r>
    </w:p>
    <w:p>
      <w:pPr>
        <w:spacing w:after="0" w:line="151"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alternative treatments, including a number of competitive therapies already approved for LDL-C lowering or CV risk reduction, including PCSK9 inhibitors, or expected to be commercially launched in the near future;</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and cost effectiveness;</w:t>
      </w:r>
    </w:p>
    <w:p>
      <w:pPr>
        <w:spacing w:after="0" w:line="217" w:lineRule="exact"/>
        <w:rPr>
          <w:rFonts w:ascii="Times New Roman" w:cs="Times New Roman" w:eastAsia="Times New Roman" w:hAnsi="Times New Roman"/>
          <w:sz w:val="17"/>
          <w:szCs w:val="17"/>
          <w:color w:val="auto"/>
        </w:rPr>
      </w:pPr>
    </w:p>
    <w:p>
      <w:pPr>
        <w:ind w:left="620" w:right="66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 Europe, DSE’s, in certain Asian territories, DS's, and in Japan, Otsuka's, sales and marketing strategies, as well as the effectiveness of any other of our collaborators or future collaborators;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awareness of bempedoic acid or the bempedoic acid / ezetimibe combination tablet through marketing efforts;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sufficient third-party coverage or reimbursement;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patients to pay out-of-pocket in the absence of third-party coverage.</w:t>
      </w:r>
    </w:p>
    <w:p>
      <w:pPr>
        <w:spacing w:after="0" w:line="244"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7"/>
          <w:szCs w:val="17"/>
          <w:color w:val="auto"/>
        </w:rPr>
        <w:t>If bempedoic acid or the bempedoic acid / ezetimibe combination tablet does not achieve an adequate level of acceptance by patients, physicians and payors, we may not generate sufficient revenue from bempedoic acid and the bempedoic acid / ezetimibe combination tablet to become or remain profitable. Our efforts to educate the medical community and third-party payors about the benefits of bempedoic acid and the bempedoic acid / ezetimibe combination tablet may require significant resources and may never be successful.</w:t>
      </w:r>
    </w:p>
    <w:p>
      <w:pPr>
        <w:spacing w:after="0" w:line="164"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obtained marketing approval for bempedoic acid and the bempedoic acid / ezetimibe combination tablet in the U.S. and Europe and several Asian territories, physicians and patients using other LDL-C or CV risk lowering therapies may choose not to switch to our products.</w:t>
      </w:r>
    </w:p>
    <w:p>
      <w:pPr>
        <w:spacing w:after="0" w:line="14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Physicians are often reluctant to switch their patients from existing therapies even when new and potentially more effective, safe or convenient treatments enter the market. In addition, patients often acclimate to the brand or type of therapy that they are currently taking and do not want to switch unless their physicians recommend switching products or they are required to switch therapies due to lack of reimbursement for existing therapies. If physicians or patients are reluctant to switch from existing therapies to bempedoic acid and the bempedoic acid / ezetimibe combination tablet, our operating results and financial condition would be materially adversely affected.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Impact of Uncertain Capital Markets</w:t>
      </w:r>
    </w:p>
    <w:p>
      <w:pPr>
        <w:spacing w:after="0" w:line="21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relied in part on sales of our common stock through our at-the-market (ATM) offering program. Increased volatility and decreases in market prices of equity securities generally and of our common stock in particular may have an adverse impact on our willingness and/or ability to continue to</w:t>
      </w:r>
    </w:p>
    <w:p>
      <w:pPr>
        <w:spacing w:after="0" w:line="1"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sell our common stock through our ATM offering. Decreases in these sales would/could affect the cost or availability of equity capital, which could in turn have an adverse effect on our business, including current operations, future growth, revenues, net income and the market prices of our common stock.</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On February 21, 2023, we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including the sales agreement prospectus contained therein, filed on April 18, 2025</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We may continue to use the 2023 ATM Program to address potential short-term or long-term funding requirements that may arise. Given the volatility in the capital markets, we may not be willing or able to continue to raise equity capital through the 2023 ATM Program. We may, therefore, need to turn to other sources of funding that may have terms that are not favorable to us, or reduce our business operations given capital constraints.</w:t>
      </w:r>
    </w:p>
    <w:p>
      <w:pPr>
        <w:spacing w:after="0" w:line="19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Volatility in capital markets and lower market prices for our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17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Our operations consume substantial amounts of cash, and our future capital requirements may be significantly different from our current estimates. Further, changing circumstances, some of which may be beyond our control, could cause us to consume capital significantly faster than we currently anticipate, and we may need to seek additional funds sooner than planned. Our future funding requirements, both near and long-term will depend on many factors, including, but not limited to the need to:</w:t>
      </w:r>
    </w:p>
    <w:p>
      <w:pPr>
        <w:spacing w:after="0" w:line="210"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unanticipated working capital requirements;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or enhance our business infrastructure;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competitive pressures.</w:t>
      </w:r>
    </w:p>
    <w:p>
      <w:pPr>
        <w:spacing w:after="0" w:line="2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Accordingly, we may need to pursue equity or debt financings to meet our capital needs. With uncertainty in the capital markets and other factors, such financing may not be available on terms favorable to us, or at all. For instance, the trading prices for our common stock and for other biopharmaceutical companies have been highly volatile. As a result, we may face difficulties raising capital through sales of our equity or debt securities or such sales may be on unfavorable terms. Similarly, adverse market or macroeconomic conditions or market volatility resulting from national or global economic developments, geopolitical developments, high inflation, rising interest rates, new or increased international tariffs and retaliatory tariffs, trade protection measures, economic sanctions and economic slowdowns or recessions, future public health epidemics or other factors, could materially and adversely affect our ability to consummate an equity or debt financing on favorable terms, or at all. In order to raise additional capital, we may seek a combination of private and public equity offerings, debt financings, strategic partnerships and alliances and licensing arrangements. To the extent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could have an adverse effect on our operations and financial results.</w:t>
      </w:r>
    </w:p>
    <w:p>
      <w:pPr>
        <w:spacing w:after="0" w:line="25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exposed vulnerabilities in the banking sector, including legal uncertainties, significant volatility and contagion risk, and caused market prices of regional bank stocks to plummet.</w:t>
      </w:r>
    </w:p>
    <w:p>
      <w:pPr>
        <w:spacing w:after="0" w:line="18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and information technology systems and infrastructure, or those of our third-party clinical research organizations or other contractors or consultants, may fail or suffer security compromises, cybersecurity incidents or breaches, which could result in a material disruption of our bempedoic acid or the bempedoic acid / ezetimibe combination tablet commercialization and development programs.</w:t>
      </w:r>
    </w:p>
    <w:p>
      <w:pPr>
        <w:spacing w:after="0" w:line="15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computer and information technology systems and infrastructure and those of our third-party CROs, vendors, and other contractors and consultants upon which our business relies are vulnerable to breakdown or damage or interruption from, among other things, natural disasters, terrorism, war, telecommunication and electrical failures, and sophisticated cyber-attacks, including the theft, fraud, and subsequent misuse of employee credentials, wrongful conduct by insider employees or vendors, denial-of-service attacks, ransomware attacks, business email compromises, computer malware, malicious codes, viruses, breakdown, wrongful intrusions, data breaches, and social engineering (including phishing attacks). While we have not experienced any such material system failure, accident, cybersecurity incidents or data breaches to date, if such an event were to occur and cause interruptions in our operations, it could result in a material disruption of our programs. For example, the loss of clinical study data for bempedoic acid or the bempedoic acid / ezetimibe combination tablet could result in delays in our regulatory approval efforts and significantly increase our costs to recover or reproduce the data. Likewise, we rely on third parties to manufacture our product candidates and will rely on third parties to conduct future clinical trials, and similar events relating to their computer systems and infrastructure could also have similar consequences to our business. To the extent that any disruption or cybersecurity compromise, incident or breach results in a loss of or damage to, unauthorized access of, or misuse of our data, systems, infrastructure or applications or other data or applications relating to our technology or our products and product candidates, or inappropriate disclosure of confidential or proprietary information, we could incur liabilities (including in connection with or resulting from litigation or governmental investigations and enforcement actions) and the further development of bempedoic acid or the bempedoic acid / ezetimibe combination tablet could be delayed, the commercialization of our products could be impacted and our business could be otherwise adversely affected. Attempts to disrupt or gain unauthorized access to our and our third-party vendors’ information systems from malicious third parties or insider threats may incorporate widely varying and frequently changing tactics, which may be enhanced or facilitated by AI.</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We could be subject to risks caused by misappropriation, misuse, leakage, falsification or intentional or accidental release or loss of information maintained in the information systems and networks, or physical facilities in which data is stored or through which data is transmitted, of our company and our vendors, including personal information of our employees and patients, and company and vendor confidential data. These attacks and activity are also being facilitated or enhanced by evolving technologies, including AI. In addition, outside parties may attempt to penetrate our systems or those of our vendors or fraudulently induce our personnel or the personnel of our vendors to disclose sensitive information in order to gain access to our data and/or systems. Like other companies in the industry, we, and our third-party vendors, have experienced threats and cybersecurity incidents relating to our information technology infrastructure, data and systems. The number and complexity of these threats continue to increase over time. If a material cybersecurity incident or breach of our information technology systems and infrastructure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notify impacted individuals and engage third-party experts and consultants, which could materially and adversely affect our business, financial condition and results of operations.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20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If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and infrastructure or those of our third-party contractors, or our consultants, will be sufficient to protect us against breakdowns, service disruption, data deterioration, loss, theft or corruption of data in the event of a cybersecurity incident or data breach. Should we experience a cybersecurity incident, data breach, industrial espionage attacks or insider threat attack it could result in financial, legal, business or reputational harm which could negatively impact our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0"/>
        <w:spacing w:after="0" w:line="272" w:lineRule="auto"/>
        <w:rPr>
          <w:sz w:val="20"/>
          <w:szCs w:val="20"/>
          <w:color w:val="auto"/>
        </w:rPr>
      </w:pPr>
      <w:r>
        <w:rPr>
          <w:rFonts w:ascii="Times New Roman" w:cs="Times New Roman" w:eastAsia="Times New Roman" w:hAnsi="Times New Roman"/>
          <w:sz w:val="17"/>
          <w:szCs w:val="17"/>
          <w:color w:val="auto"/>
        </w:rPr>
        <w:t>relationship with our customers, partners, vendors and other third parties. Further, a cybersecurity incident or data breach may result in fines and penalties resulting from claims against us by private parties and/or governmental agencies.</w:t>
      </w:r>
    </w:p>
    <w:p>
      <w:pPr>
        <w:spacing w:after="0" w:line="184"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studies,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increasing use of social media platforms presents new risks and challenges.</w:t>
      </w:r>
    </w:p>
    <w:p>
      <w:pPr>
        <w:spacing w:after="0" w:line="2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Social media is increasingly being used to communicate about our drugs, clinical development programs, and the diseases our drugs and drug candidates are being developed to treat, and we are utilizing what we believe is appropriate social media in connection with our commercialization efforts for bempedoic acid and the bempedoic acid / ezetimibe combination tablet and we intend to do the same for our future products, if approved. Social media practices in the pharmaceutical industry continue to evolve and regulations relating to such use are not always clear. This evolution creates uncertainty and risk of noncompliance with regulations applicable to our business, resulting in potential regulatory actions against us. For example, there is a risk of inappropriate disclosure of sensitive information or negative or inaccurate posts or comments about us on any social networking website. If any of these events were to occur or we otherwise fail to monitor and comply with applicable regulations, we could incur liability, face regulatory actions, or incur other harm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 could adversely affect our business and financial condition.</w:t>
      </w:r>
    </w:p>
    <w:p>
      <w:pPr>
        <w:spacing w:after="0" w:line="25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Internal Revenue Service and the U.S. Treasury Department. For example, the OBBBA Act was signed into law on July 4, 2025 and made significant changes to U.S. federal tax law. Changes to tax laws (which changes may have retroactive application), including with respect to net operating losses and research and development tax credits could adversely affect our business. For example, under the OBBBA Act, there were modifications to capitalization of research and development expenses, limitations on deductions for interest expense and accelerated fixed asset depreciation, among others. Additionally, state taxing authorities may independently develop their own positions or enact legislation in response to federal income tax changes, which could further affect our tax obligations and financial results. In recent years, many changes to tax laws have been made and changes are likely to continue to occur in the future. Future changes in tax laws could have a material adverse effect on our business, cash flow, financial condition or results of operations.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We urge investors to consult with their legal and tax advisers regarding the implications of potential changes in tax laws on an investment in our common stock. We continue to examine the impact this tax reform legislation may have on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may be subject to limitation.</w:t>
      </w:r>
    </w:p>
    <w:p>
      <w:pPr>
        <w:spacing w:after="0" w:line="25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At December 31, 2025, we had United States federal net operating loss carryforwards of approximately $807.4 million and state net operating loss carryforwards of approximately $667.2 million. Our ability to utilize these net operating losses to offset future tax liabilities depends on the successful development of our product candidates and future financial performance. Additionally, under Sections 382 and 383 of the U.S. Internal Revenue Code of 1986, as amended, or the Code, if a corporation undergoes an “ownership change,” the corporation’s ability to use its pre-change net operating loss carryforwards and other pre-change tax attributes, such as research tax credits, to offset its post-change income may be limited. In general, an “ownership</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change” will occur if there is a cumulative change in our ownership by “5-percent shareholders” that exceeds 50 percentage points over a rolling three-year period. Similar rules may apply under state tax laws. As a result of prior equity issuances and other transactions in our stock, we have previously experienced “ownership changes” under section 382 of the Code and comparable state tax laws in those years. Some of the United States federal and state net operating loss and credit</w:t>
      </w:r>
    </w:p>
    <w:p>
      <w:pPr>
        <w:spacing w:after="0" w:line="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carryforwards are subject to annual limitations due to ownership changes. The annual limitation may result in the expiration of net operating losses or credit carryforwards before utilization. As of result of stock transactions, we expect the Company experienced an ownership change in 2013, 2017, 2021, 2023 and 2024. We may also experience ownership changes in the future as a result of future transactions in our stock, whereby our ability to utilize net operating losses or tax credits could be further limited by Sections 382 and 383 of the Code. For the year ended December 31, 2025, we are not expecting to be impacted by IRC Section 382 limitations, as we have experienced a federal net operating loss.</w:t>
      </w:r>
    </w:p>
    <w:p>
      <w:pPr>
        <w:spacing w:after="0" w:line="193" w:lineRule="exact"/>
        <w:rPr>
          <w:sz w:val="20"/>
          <w:szCs w:val="20"/>
          <w:color w:val="auto"/>
        </w:rPr>
      </w:pPr>
    </w:p>
    <w:p>
      <w:pPr>
        <w:ind w:right="5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natural disasters, geopolitical developments or global health crises and our business continuity and disaster recovery plans may not adequately protect us from a serious disaster.</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occurrence of unforeseen or catastrophic events, including extreme weather events, natural disasters, geopolitical developments or global health crises, depending on their scale, may cause different degrees of damage to the national and local economies, such as recessions, rising interest rates, inflation, fuel prices, foreign currency fluctuations, international tariffs, boycotts, curtailment of trade and other business restrictions, and could severely disrupt our operations, and have a material adverse effect on our business, results of operations, financial condition, and prospects. If a natural disaster, global health crisis, power outage, or other event occurred that prevented us from using all or a significant portion of our headquarters, that damaged critical infrastructure, such as the manufacturing facilities of our third-party contract manufacturers, or that otherwise disrupted our operations or the operations of our vendors, it may be difficult or, in certain cases, impossible for us to continue our business for a substantial period of time. The disaster recovery and business continuity plans we have in place may prove inadequate in the event of a serious disaster, health crisis, or similar event. We may incur substantial expenses as a result of the limited nature of our disaster recovery and business continuity plans, which, could have a material adverse effect on our business.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Corstasis Acquisition</w:t>
      </w:r>
    </w:p>
    <w:p>
      <w:pPr>
        <w:spacing w:after="0" w:line="203"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fail to complete the acquisition of Corstasis or realize the anticipated benefits of the acquisition, or those benefits may take longer to realize than expected.</w:t>
      </w:r>
    </w:p>
    <w:p>
      <w:pPr>
        <w:spacing w:after="0" w:line="17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7"/>
          <w:szCs w:val="17"/>
          <w:color w:val="auto"/>
        </w:rPr>
        <w:t>We cannot predict whether and when the conditions to the acquisition will be satisfied. If one or more of the conditions is not satisfied, and as a result, we do not complete the acquisition, we would remain liable for transaction costs, and the focus of our management would have been diverted, in each case without realizing any benefits of the acquisition. Certain costs associated with the acquisition have already been incurred or may be payable even if the acquisition is not consummated. Any disruptions to our business resulting from the announcement and pendency of the acquisition, including any potential adverse changes in our relationships with our partners, suppliers and employees, could continue or accelerate in the event that we fail to consummate the acquisition. Regardless of whether the acquisition closes, there can be no assurance that we will realize the full anticipated benefits relating to the acquisition or that these benefits will be realized within the expected time frames or at all. Our ability to realize the anticipated benefits of the acquisition will depend, to a large extent, on our ability to continue to integrate Corstasis within our business, continue to commercialize Enbumyst, and to realize anticipated growth opportunities and synergies.</w:t>
      </w:r>
    </w:p>
    <w:p>
      <w:pPr>
        <w:spacing w:after="0" w:line="206"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17"/>
          <w:szCs w:val="17"/>
          <w:color w:val="auto"/>
        </w:rPr>
        <w:t>Should the acquisition close, we will become responsible for Corstasis’ liabilities and obligations, including with respect to legal, financial, regulatory and compliance matters, including certain post-approval regulatory requirements with respect to Enbumyst and obligations under supply, manufacturing and other material agreements. These obligations will result in additional cost and investment by us and, if we have underestimated the amount of these costs and investments or if we fail to satisfy any such obligations, we may not realize the anticipated benefits of the transaction. Also, due to the acquisition and the associated integration-related work, we may forego or delay pursuit of other opportunities that may have proven to have greater commercial potential.</w:t>
      </w:r>
    </w:p>
    <w:p>
      <w:pPr>
        <w:spacing w:after="0" w:line="20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Further, it is possible that there may be unknown, contingent or other liabilities or problems that may arise in the future as a result of the acquisition, the existence and/or magnitude of which we were previously unaware. Any such liabilities or problems could adversely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have difficulty integrating the operations of any companies we acquire, which could cause actual results to differ materially and adversely from what we anticipated.</w:t>
      </w:r>
    </w:p>
    <w:p>
      <w:pPr>
        <w:spacing w:after="0" w:line="17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The integration of Corstasis, and any businesses we may acquire in the future, into our operations may result in unforeseen operating difficulties, absorb significant management attention and require significant financial resources that would otherwise be available for the ongoing development of our business. These integration difficulties may include the integration of personnel with disparate business backgrounds, the transition to new information systems, coordination of geographically dispersed organizations, loss of key employees of acquired companies, and reconciliation of different corporate cultures. Moreover, any acquired business may fail to generate the revenues or net income we expected or produce the efficiencies or cost-savings we anticipated, if any. If we cannot successfully integrate Corstasis’ or any other acquired company’s internal control over financial reporting, the reliability of our financial statements may be impaired and we may not be able to meet our reporting obligations under applicable law. Any such impairment or failure could cause investor confidence and, in turn, the market price of our common stock, to be materially adversely affected. Further, the acquisition of Corstasis or any other acquired business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 up-front, milestone and royalty payments, equity investments and financial support of new research and development candidates including increase of personnel, all of which may be substantial. Any of these outcomes could adversely impact our business and operations.</w:t>
      </w:r>
    </w:p>
    <w:p>
      <w:pPr>
        <w:spacing w:after="0" w:line="2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Even if we are able to integrate Corstasis or any other acquired businesses successfully, we may not realize the full benefits anticipated when selecting our acquisition candidates and cannot be sure that these benefits will be achieved within a reasonable period of time, if at all. In addition, we may need to record write-downs from impairments of goodwill, intangible assets, or long-lived assets, or record adjustments to the purchase price that occur after the closing of the transaction, which could reduce our future reported earnings. Further, acquired businesses may have liabilities or other adverse issues that we fail to discover through due diligence prior to the acquisition. The failure to discover such issues prior to such acquisition, should they be significant, could adversely impact our business and operations.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Clinical Development, Regulatory Review, and Approval of Our Drugs and Future Drug Candidates</w:t>
      </w:r>
    </w:p>
    <w:p>
      <w:pPr>
        <w:spacing w:after="0" w:line="216"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Failures or delays in the completion of any of our future clinical trials could result in increased costs to us and could delay, prevent or limit our ability to generate revenue and continue our business.</w:t>
      </w:r>
    </w:p>
    <w:p>
      <w:pPr>
        <w:spacing w:after="0" w:line="13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In December 2022, we announced completion of the CLEAR Outcomes CVOT and in November 2025 announced the presentation of two post hoc analyses from CLEAR Outcomes CVOT. In the future, we or our partners may conduct additional clinical studies of bempedoic acid product, the bempedoic acid / ezetimibe combination tablet, or clinical studies of additional product candidates we may develop. The conduct and completion of any of our future clinical studies can be delayed or prevented for a number of reasons, including, among others:</w:t>
      </w:r>
    </w:p>
    <w:p>
      <w:pPr>
        <w:spacing w:after="0" w:line="210"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authority may not agree to the study design or overall program;</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competent authorities in the EU or any other regulatory authority may place a clinical study on hold;</w:t>
      </w:r>
    </w:p>
    <w:p>
      <w:pPr>
        <w:spacing w:after="0" w:line="217" w:lineRule="exact"/>
        <w:rPr>
          <w:rFonts w:ascii="Times New Roman" w:cs="Times New Roman" w:eastAsia="Times New Roman" w:hAnsi="Times New Roman"/>
          <w:sz w:val="17"/>
          <w:szCs w:val="17"/>
          <w:color w:val="auto"/>
        </w:rPr>
      </w:pPr>
    </w:p>
    <w:p>
      <w:pPr>
        <w:ind w:left="620" w:right="640" w:hanging="307"/>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reaching or failing to reach agreement on acceptable terms with prospective CROs and study sites, the terms of which can be subject to extensive negotiation and may vary significantly among different CROs and study sites;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quantity or quality of a product candidate or other materials necessary to conduct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or delays obtaining IRB, approval to conduct a clinical study at a prospective site or sites;</w:t>
      </w:r>
    </w:p>
    <w:p>
      <w:pPr>
        <w:spacing w:after="0" w:line="217"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severe or unexpected drug-related side effects experienced by patients in a clinical study, including instances of muscle pain or weakness or other side effects;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from preclinical or clinical testing of other cardiometabolic therapies that raise safety or efficacy concerns; and</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retaining patients who have enrolled in a clinical study but may be prone to withdraw due to rigors of the study, lack of efficacy, side effects, personal issues or loss of interest.</w:t>
      </w:r>
    </w:p>
    <w:p>
      <w:pPr>
        <w:spacing w:after="0" w:line="177" w:lineRule="exact"/>
        <w:rPr>
          <w:sz w:val="20"/>
          <w:szCs w:val="20"/>
          <w:color w:val="auto"/>
        </w:rPr>
      </w:pPr>
    </w:p>
    <w:p>
      <w:pPr>
        <w:ind w:right="740"/>
        <w:spacing w:after="0" w:line="288" w:lineRule="auto"/>
        <w:rPr>
          <w:sz w:val="20"/>
          <w:szCs w:val="20"/>
          <w:color w:val="auto"/>
        </w:rPr>
      </w:pPr>
      <w:r>
        <w:rPr>
          <w:rFonts w:ascii="Times New Roman" w:cs="Times New Roman" w:eastAsia="Times New Roman" w:hAnsi="Times New Roman"/>
          <w:sz w:val="17"/>
          <w:szCs w:val="17"/>
          <w:color w:val="auto"/>
        </w:rPr>
        <w:t>Clinical studies may also be delayed or terminated as a result of ambiguous or negative interim results. In addition, a clinical study may be suspended or terminated by us, the FDA, the EMA, the IRBs at the sites where the IRBs are overseeing 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clinical study, a data safety monitoring committee, or DMC, overseeing the clinical study at issue or any other regulatory authorities due to a number of factors, including, among others:</w:t>
      </w:r>
    </w:p>
    <w:p>
      <w:pPr>
        <w:spacing w:after="0" w:line="151"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conduct the clinical study in accordance with regulatory requirements or our clinical protocols;</w:t>
      </w:r>
    </w:p>
    <w:p>
      <w:pPr>
        <w:spacing w:after="0" w:line="217"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inspection of the clinical study operations or study sites by the FDA, competent authorities in the EU or any other regulatory authorities that reveals deficiencies or violations that require us to undertake corrective action, including the imposition of a clinical hold;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regulations or administrative actions;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with clinical supply materials;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adequate funding to continue the clinical study.</w:t>
      </w:r>
    </w:p>
    <w:p>
      <w:pPr>
        <w:spacing w:after="0" w:line="21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Positive results from completed Phase 1, Phase 2 and Phase 3 clinical studies of bempedoic acid and the bempedoic acid / ezetimibe combination tablet and our CLEAR Outcomes CVOT of bempedoic acid are not necessarily predictive of the results of our future clinical studies, nor do they guarantee approval of bempedoic acid product and the bempedoic acid / ezetimibe combination tablet by the FDA, EMA or any other regulatory agency for additional indications, or approval for any future product candidates.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is a high failure rate for drugs proceeding through clinical studies. The positive results from our completed Phase 1, Phase 2 and Phase 3 clinical studies of bempedoic acid, our Phase 3 1002FDC-053 clinical study of the bempedoic acid / ezetimibe combination tablet, our CLEAR Outcomes CVOT or any future studies of bempedoic acid and the bempedoic acid / ezetimibe combination tablet, do not guarantee approval of bempedoic acid and the bempedoic acid / ezetimibe combination tablet by the FDA for additional indications or by any other regulatory authorities for any future indications in a timely manner or at all. Many companies in the pharmaceutical and biotechnology industries have suffered significant setbacks in late-stage clinical studies after achieving positive results earlier in development, and we cannot be certain that we will not face similar setbacks. These setbacks have been caused by, among other things, preclinical findings made while clinical studies were underway or safety or efficacy observations made in clinical studies, including previously unreported adverse events. In addition, regulatory delays or rejections may be encountered as a result of many factors, including changes in regulatory policy during the period of product development. If we fail to obtain positive results in any future clinical studies, the regulatory status of our product candidates or future product candidates, and correspondingly, our business and financial prospects, may be materially adversely affected.</w:t>
      </w:r>
    </w:p>
    <w:p>
      <w:pPr>
        <w:spacing w:after="0" w:line="8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Undesirable side effects caused by our product candidates could cause us, our partners or regulatory authorities to interrupt, delay or halt non-clinical studies and clinical trials and could result in a more restrictive label or the delay or denial of regulatory approval by the FDA or other regulatory authorities.</w:t>
      </w:r>
    </w:p>
    <w:p>
      <w:pPr>
        <w:spacing w:after="0" w:line="15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Clinical trials by their nature utilize a sample of the potential patient population. Rare and severe side effects of our product candidates may only be uncovered with a significantly larger number of patients exposed to the product candidate over a significant period of time. If our product candidates receive marketing approval and we or others identify undesirable side effects caused by such products (or any other similar products) after such approval, a number of potentially significant negative consequences could result, including:</w:t>
      </w:r>
    </w:p>
    <w:p>
      <w:pPr>
        <w:spacing w:after="0" w:line="170"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suspend, withdraw or limit their approval of such products;</w:t>
      </w:r>
    </w:p>
    <w:p>
      <w:pPr>
        <w:spacing w:after="0" w:line="217" w:lineRule="exact"/>
        <w:rPr>
          <w:rFonts w:ascii="Times New Roman" w:cs="Times New Roman" w:eastAsia="Times New Roman" w:hAnsi="Times New Roman"/>
          <w:sz w:val="17"/>
          <w:szCs w:val="17"/>
          <w:color w:val="auto"/>
        </w:rPr>
      </w:pPr>
    </w:p>
    <w:p>
      <w:pPr>
        <w:ind w:left="620" w:right="4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or modification of labeling statements, such as a “boxed” warning or a contraindication, or the issuance of additional “Dear Doctor Letters” or similar communications to healthcare professionals;</w:t>
      </w:r>
    </w:p>
    <w:p>
      <w:pPr>
        <w:spacing w:after="0" w:line="151"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such products are distributed or administered, conduct post-marketing surveillance, conduct additional clinical trials or change the labeling of the products;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regulatory investigations and government enforcement actions;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to recall or remove such products from the marketplace; 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injury caused to individuals exposed to or taking our products and product candidates; and our reputation may suffer.</w:t>
      </w:r>
    </w:p>
    <w:p>
      <w:pPr>
        <w:spacing w:after="0" w:line="24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We believe that any of these events could prevent us from achieving or maintaining market acceptance of the affected products, and could substantially increase the costs of commercializing our products and significantly impact our ability to successfully commercialize our products and generate revenues.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obtain orphan drug status for our planned or future product candidates.</w:t>
      </w:r>
    </w:p>
    <w:p>
      <w:pPr>
        <w:spacing w:after="0" w:line="2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We may seek orphan drug status from the FDA for our planned product candidate, ESP-2001, a next-generation ACLY inhibitor, or future product candidates to the extent such product candidates are eligible for orphan drug status under the Orphan Drug Act of 1983. Under the Orphan Drug Act, the FDA may designate a product as an orphan drug if it is a product intended to treat a “rare disease or condition,” which is generally defined as any disease or condition which affects less than 200,000 individuals in the United States. The FDA may also designate a product as an orphan drug if it is intended to treat a disease or condition which affects more than 200,000 individuals in the United States and there is no reasonable expectation that the cost of developing and making a drug or biological product available in the United States for this type of disease or condition will be recovered from sales of the product candidate. 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such indication for that time period. The applicable period is seven years in the United States. Orphan drug exclusivity may be lost if the FDA determines that the request for designation was materially defective or if the manufacturer is unable to assure sufficient quantity of the drug to meet the needs of patients with the rare disease or condition. While there is no guarantee, FDA orphan drug designation may provide a range of benefits, including a potential fast track process for clinical regulatory approval, potential tax credits for qualified clinical trials and an exemption from FDA application user fees.</w:t>
      </w:r>
    </w:p>
    <w:p>
      <w:pPr>
        <w:spacing w:after="0" w:line="1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Even if we obtain orphan drug exclusivity for a product in the United States, that exclusivity may not effectively protect the product from competition because different drugs can be approved for the same condition, and the same drug could be approved for a different condition. Even after an orphan drug is approved, the FDA can subsequently approve the same drug, made by a competitor, for the same condition if the FDA concludes that the competitive product is clinically superior in that it is shown to be safer, more effective or makes a major contribution to patient care. Failure to obtain an orphan drug designation for our product candidates may have a material adverse effect on our business, results of operations and financial condition.</w:t>
      </w:r>
    </w:p>
    <w:p>
      <w:pPr>
        <w:spacing w:after="0" w:line="193"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fail to obtain Fast Track designation from the FDA for our current or future product candidates. Even if granted for any of our planned or future product candidates, such expedited programs may not lead to a faster development, regulatory review or approval process, and such designations do not increase the likelihood that any of our product candidates will receive marketing approval in the U.S.</w:t>
      </w:r>
    </w:p>
    <w:p>
      <w:pPr>
        <w:spacing w:after="0" w:line="18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may also seek Fast Track designation for our planned product candidate, ESP-2001, a next-generation ACLY inhibitor, or future product candidates to the extent such product candidates are eligible for Fast Track designation. We may seek Fast Track designation for future product candidates or priority review of applications for approval of our future product candidates for certain indications. If a drug is intended for the treatment of a serious or life-threatening condition and the drug demonstrates the potential to address unmet medical needs for this condition, the drug sponsor may apply for the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w:t>
      </w:r>
    </w:p>
    <w:p>
      <w:pPr>
        <w:spacing w:after="0" w:line="200" w:lineRule="exact"/>
        <w:rPr>
          <w:sz w:val="20"/>
          <w:szCs w:val="20"/>
          <w:color w:val="auto"/>
        </w:rPr>
      </w:pPr>
    </w:p>
    <w:p>
      <w:pPr>
        <w:spacing w:after="0" w:line="2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sponsor of a product candidate with Fast Track designation has opportunities for more frequent interactions with the applicable FDA review team during product development and, once an NDA is submitted, the product candidate may be eligible for priority review. Such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Even if we do receive Fast Track designation or priority review for any other product candidate, we may not experience a faster development process, review or approval compared to conventional FDA procedures. Additionally, the FDA may withdraw Fast Track designation for any product candidate to be so designated if it believes that the designation is no longer supported by the applicable data from the clinical development program.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develop certain of our product candidates as combination therapies. Developing combination treatments increases complexity and risk, including risks of drug-drug interactions, unforeseen side effects or failures in our clinical trials that could delay or prevent their regulatory approval or limit the commercial profile of an approved label.</w:t>
      </w:r>
    </w:p>
    <w:p>
      <w:pPr>
        <w:spacing w:after="0" w:line="189"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We may explore potential combinations therapies, either by ourselves or potentially in collaboration with other companies. The use of our product candidates in combination with each other and/or in patients already receiving other companies’ treatments may subject us to risks that we would not face if our product candidates were being developed to be administered as monotherapies.</w:t>
      </w:r>
    </w:p>
    <w:p>
      <w:pPr>
        <w:spacing w:after="0" w:line="1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For example, either the combination of our product candidates with each other, or when used in patients already receiving other companies’ products or product candidates, may result in unexpected adverse side effects or toxicities that the product candidates or other therapy do not produce when used alone. In addition, the product candidates may interact with each other, or with other companies’ products that patients receiving our product candidates may also be receiving, in undesirable ways that could negatively impact the efficacy of our product candidates, or of the other companies’ products or product candidates. Testing product candidates in patients already receiving other treatments may increase the risk of significant adverse effects or failed clinical trials. The timing, outcome and cost of the potential adverse effects of developing products to be used in patients already receiving other therapies is difficult to predict and dependent on a number of factors that are outside our reasonable control.</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addition, to the extent we choose to develop and commercialize a product candidate for use in patients receiving an already approved therapy, any safety, efficacy, regulatory, manufacturing or supply issues that could arise with respect to the approved therapy could have an adverse impact on us. Prescribing information for the approved therapy, such as risk information like a boxed warning, or limitations of use, could negatively impact our ability to develop and commercialize a product as an add-on or as further supportive care to the approved therapy. If the approved therapy is replaced as the standard of care, the FDA or comparable foreign regulatory authorities may require us to conduct additional clinical trials, or we may not be able to obtain adequate reimbursement from third-party payors. Further, the FDA or comparable regulatory authorities could revoke approval of a therapy patients in our clinical trials are receiving. The occurrence of any of these risks could result in an add-on product candidate being developed as further supportive care, if successfully developed and approved, being removed from the market or being less successful commercially. If the FDA or comparable foreign regulatory authorities revoke their approval of, or if safety, efficacy, manufacturing, or supply issues arise with respect to, therapies we choose to evaluate in conjunction with or as background or standard of care therapy for any of our product candidates, we may be unable to obtain regulatory approval of or to commercialize such product candidates in combination with these therapies. If we experience safety, tolerability or toxicity issues in any of our ongoing or planned clinical trials that allow patients to remain on other therapies, or if the efficacy data from these trials of our candidates administered to patients on other therapies are not favorable, our clinical development plans could be materially negatively affected or delayed, or we may not receive regulatory approval for our product candidates, which would materially harm our business and likely cause the market price of our common stock to decline.</w:t>
      </w:r>
    </w:p>
    <w:p>
      <w:pPr>
        <w:spacing w:after="0" w:line="20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Changes in regulatory requirements, FDA or EMA guidance or unanticipated events may occur, which may result in changes to clinical study protocols or additional clinical study requirements, which could result in increased costs to us and could delay our development timeline.</w:t>
      </w:r>
    </w:p>
    <w:p>
      <w:pPr>
        <w:spacing w:after="0" w:line="1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Changes in regulatory requirements, FDA or EMA guidance or unanticipated events during our clinical studies may force us to amend clinical study protocols or the FDA or EMA may impose additional clinical study requirements. Significant amendments to our clinical study protocols may require resubmission to the FDA and/or IRBs for review and approval, which may adversely impact the cost, timing and/or successful completion of these studies. If we are required to conduct clinical studies in addition to our CLEAR Outcomes CVOT to support a CV risk reduction indication in certain jurisdictions, the commercial prospects for bempedoic acid and the bempedoic acid / ezetimibe combination tablet in such jurisdictions may be harmed and our ability to generate product revenue will be impaired.</w:t>
      </w:r>
    </w:p>
    <w:p>
      <w:pPr>
        <w:spacing w:after="0" w:line="196" w:lineRule="exact"/>
        <w:rPr>
          <w:sz w:val="20"/>
          <w:szCs w:val="20"/>
          <w:color w:val="auto"/>
        </w:rPr>
      </w:pPr>
    </w:p>
    <w:p>
      <w:pPr>
        <w:ind w:right="5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future product development programs for candidates other than bempedoic acid or the bempedoic acid / ezetimibe combination tablet may require substantial financial resources and may ultimately be unsuccessful.</w:t>
      </w:r>
    </w:p>
    <w:p>
      <w:pPr>
        <w:spacing w:after="0" w:line="17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In addition to the development of bempedoic acid and the bempedoic acid / ezetimibe combination tablet, we may pursue the development of other early-stage programs, such as our program to develop next generation ACL inhibitors. If we conduct any clinical studies for our future product candidates, there will be a number of FDA requirements that we must satisfy before we can commence such clinical studies. Satisfaction of these requirements will entail substantial time, effort and financial resources. We may never satisfy these requirements. Any time, effort and financial resources we expend on any early-stage development programs that we may pursue may adversely affect our ability to continue development and commercialization of</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bempedoic acid and the bempedoic acid / ezetimibe combination tablet, and we may never commence clinical studies of such development programs despite expending significant resources in pursuit of their development. If we do commence clinical studies of our other potential product candidates, such product candidates may never be approved by the FDA.</w:t>
      </w:r>
    </w:p>
    <w:p>
      <w:pPr>
        <w:spacing w:after="0" w:line="1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for the FDA, the SEC and other U.S.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The ability of the FDA and other comparable regulatory authorities to review and approve new products can be affected by a variety of factors, including government budget and funding levels, the FDA’s or other comparable regulatory authorities’ ability to hire and retain key personnel and accept the payment of user fees, the availability of personnel and other resources, statutory, regulatory and policy changes,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of these factors.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 Federal agencies in the U.S., including the FDA, the SEC and other comparable regulatory authorities, operate pursuant to annual appropriations and other political and budgetary processes, and may from time to time be subject to continuing resolutions, funding lapses, or other fiscal constraints. The FDA is currently funded through September 30, 2026.</w:t>
      </w:r>
    </w:p>
    <w:p>
      <w:pPr>
        <w:spacing w:after="0" w:line="21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Disruptions and personnel turnover, as a result of leadership changes, staff reductions or otherwise, at the FDA, the SEC and other agencies may also slow the time necessary for product applications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For example, over the last several years, the U.S. government has shut down several times and certain regulatory agencies, such as the FDA and the SEC, have had to furlough critical employees and stop critical activities. Specifically, from October 1, 2025 to November 12, 2025, the U.S. federal government entered a shutdown suspending services deemed non-essential as a result of the failure by Congress to enact regular appropriations for the 2026 fiscal year. In addition, the U.S. government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again in the future, such as the one that occurred in October 2025, or if funding shortages or staffing limitations hinder or prevent the FDA, the SEC or other regulatory authorities from conducting their regular inspections, reviews, or other regulatory activities, including formal and informal interactions with product developers, it could significantly affect the ability of the FDA or other such regulatory authorities to timely review and process our regulatory submissions, which could have a material adverse effect on our business. Further, in our operations as a public company, future government shutdowns and/or other substantial disruptions at other government agencies, such as the SEC, may also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 Similar developments at regulators in other countries (including the EMA) could have similar impacts on our applications for marketing approval and on our business.</w:t>
      </w:r>
    </w:p>
    <w:p>
      <w:pPr>
        <w:spacing w:after="0" w:line="20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7"/>
          <w:szCs w:val="17"/>
          <w:color w:val="auto"/>
        </w:rPr>
        <w:t>In addition, changes in the requirements and policies of the FDA and other regulatory agencies with jurisdiction over our products, including applicable pricing and reimbursement frameworks under federal healthcare programs, could affect the commercial viability of our products, create revenue uncertainty, and impact our ability to achieve profitability. Regulatory challenges may introduce new challenges in obtaining FDA approval or navigating commercialization, and any delay in securing applicable regulatory approvals would adversely affect our business and prospects.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Risks Related to 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potential product liability exposure, and, if claims are brought against us, we may incur substantial liability.</w:t>
      </w:r>
    </w:p>
    <w:p>
      <w:pPr>
        <w:spacing w:after="0" w:line="23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The use of bempedoic acid and the bempedoic acid / ezetimibe combination tablet in clinical studies and the sale of bempedoic acid and the bempedoic acid / ezetimibe combination tablet exposes us to the risk of product liability claims. Product liability claims might be brought against us by patients, healthcare providers or others selling or otherwise coming into contact with bempedoic acid or the bempedoic acid / ezetimibe combination tablet.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204"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patients from our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patients or other claimants;</w:t>
      </w:r>
    </w:p>
    <w:p>
      <w:pPr>
        <w:spacing w:after="0" w:line="217" w:lineRule="exact"/>
        <w:rPr>
          <w:rFonts w:ascii="Times New Roman" w:cs="Times New Roman" w:eastAsia="Times New Roman" w:hAnsi="Times New Roman"/>
          <w:sz w:val="17"/>
          <w:szCs w:val="17"/>
          <w:color w:val="auto"/>
        </w:rPr>
      </w:pPr>
    </w:p>
    <w:p>
      <w:pPr>
        <w:ind w:left="620" w:right="540" w:hanging="307"/>
        <w:spacing w:after="0" w:line="288"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bempedoic acid or the bempedoic acid / ezetimibe combination tablet or any future product candidates following marketing approval, if obtained;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reputation and exposure to adverse publicity;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FDA warnings on product labels;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costs;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distraction of management’s attention from our primary business;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and</w:t>
      </w:r>
    </w:p>
    <w:p>
      <w:pPr>
        <w:spacing w:after="0" w:line="217" w:lineRule="exact"/>
        <w:rPr>
          <w:rFonts w:ascii="Times New Roman" w:cs="Times New Roman" w:eastAsia="Times New Roman" w:hAnsi="Times New Roman"/>
          <w:sz w:val="17"/>
          <w:szCs w:val="17"/>
          <w:color w:val="auto"/>
        </w:rPr>
      </w:pPr>
    </w:p>
    <w:p>
      <w:pPr>
        <w:ind w:left="620" w:right="360" w:hanging="307"/>
        <w:spacing w:after="0" w:line="288"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commercialize bempedoic acid or the bempedoic acid / ezetimibe combination tablet or any future product candidates, if approved.</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maintain product liability insurance coverage for our clinical studies with a $10.0 million annual aggregate coverage limit, in addition to insurance coverage in specific local jurisdictions.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We expanded our insurance coverage to include the sale of commercial products.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at an increased risk of securities class action litigation.</w:t>
      </w:r>
    </w:p>
    <w:p>
      <w:pPr>
        <w:spacing w:after="0" w:line="250"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1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 In addition, defending claims is costly and can impose a significant burden on our management. Any proceeding in which we are or may become involved could result in substantial costs and a diversion of management's attention and resources, which could harm our business.</w:t>
      </w:r>
    </w:p>
    <w:p>
      <w:pPr>
        <w:spacing w:after="0" w:line="193"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infringe the intellectual property rights of others, which may prevent or delay our product development efforts and stop us from commercializing or increase the costs of commercializing bempedoic acid and the bempedoic acid / ezetimibe combination tablet.</w:t>
      </w:r>
    </w:p>
    <w:p>
      <w:pPr>
        <w:spacing w:after="0" w:line="14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pharmaceutical industry is characterized by extensive litigation regarding patents and other intellectual property rights. Other parties may allege that bempedoic acid or the bempedoic acid / ezetimibe combination tablet or the use of our technologies infringe patent claims or other intellectual property rights held by them or that we are employing their proprietary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technology without authorization. For example, we are aware of U.S. patents relating to compositions containing ezetimibe. Although we believe that our bempedoic acid / ezetimibe combination tablet would not infringe a claim of such patents, the owner of such patents may disagree and initiate a patent infringement action against us.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bempedoic acid or the bempedoic acid / ezetimibe combination tablet.</w:t>
      </w:r>
    </w:p>
    <w:p>
      <w:pPr>
        <w:spacing w:after="0" w:line="1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173"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 developing, selling or otherwise commercializing bempedoic acid or the bempedoic acid / ezetimibe combination tablet;</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damages for past use of the asserted intellectual property;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 license from the holder of the asserted intellectual property, which license may not be available on reasonable terms, if at all; and</w:t>
      </w:r>
    </w:p>
    <w:p>
      <w:pPr>
        <w:spacing w:after="0" w:line="217" w:lineRule="exact"/>
        <w:rPr>
          <w:rFonts w:ascii="Times New Roman" w:cs="Times New Roman" w:eastAsia="Times New Roman" w:hAnsi="Times New Roman"/>
          <w:sz w:val="17"/>
          <w:szCs w:val="17"/>
          <w:color w:val="auto"/>
        </w:rPr>
      </w:pPr>
    </w:p>
    <w:p>
      <w:pPr>
        <w:ind w:left="620" w:right="580" w:hanging="307"/>
        <w:spacing w:after="0" w:line="288"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 or rename in the case of trademark claims, bempedoic acid or the bempedoic acid / ezetimibe combination tablet to avoid infringing the intellectual property rights of third parties, which may not be possible and, even if possible, could be costly and time-consuming.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these risks coming to fruition could have a material adverse effect on our business, results of operations, financial condition and prospects.</w:t>
      </w:r>
    </w:p>
    <w:p>
      <w:pPr>
        <w:spacing w:after="0" w:line="212" w:lineRule="exact"/>
        <w:rPr>
          <w:sz w:val="20"/>
          <w:szCs w:val="20"/>
          <w:color w:val="auto"/>
        </w:rPr>
      </w:pPr>
    </w:p>
    <w:p>
      <w:pPr>
        <w:ind w:right="6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damages resulting from claims that we or our employees have wrongfully used or disclosed alleged trade secrets of their former employers.</w:t>
      </w:r>
    </w:p>
    <w:p>
      <w:pPr>
        <w:spacing w:after="0" w:line="1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bempedoic acid or the bempedoic acid / ezetimibe combination tablet, which would materially adversely affect our commercial development efforts.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Capital Needs and Ownership of Our Stock</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operating losses since our inception, and anticipate that we will incur continued losses for the immediate future.</w:t>
      </w:r>
    </w:p>
    <w:p>
      <w:pPr>
        <w:spacing w:after="0" w:line="22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Pharmaceutical product development is a highly speculative undertaking and involves a substantial degree of risk. We were incorporated in January 2008. Our operations to date have included organizing and staffing our company, conducting research and development activities for bempedoic acid and the bempedoic acid</w:t>
      </w:r>
    </w:p>
    <w:p>
      <w:pPr>
        <w:ind w:right="20" w:firstLine="3"/>
        <w:spacing w:after="0" w:line="258" w:lineRule="auto"/>
        <w:tabs>
          <w:tab w:leader="none" w:pos="9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ezetimibe combination tablet, as well as commercializing these products. Since the launch of our products, we have generated $462.5 million in net revenue from product sales in the U.S. We have obtained regulatory approval for both products from the FDA in the U.S., the EC in the EU and Swissmedic in Switzerland as well as from regulatory authorities in several Asian territories. As such, we are subject to all the risks incident to the development, regulatory approval and commercialization of new pharmaceutical products and we may encounter unforeseen expenses, difficulties, complications, delays and other unknown factors.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Since our inception, we have focused substantially all of our efforts and financial resources on developing bempedoic acid. We have funded our operations to date primarily through proceeds from sales of preferred stock, public offerings of common stock and warrants, convertible promissory notes and warrants, the incurrence of indebtedness, milestone payments from collaboration agreements, revenue interest purchase agreements and royalty sale agreements, and we have incurred losses in each year since our inception. Our net losses were $22.7 million, $51.7 million, and $209.2 million for the years ended December 31, 2025, 2024, and 2023, respectively. As of December 31, 2025, we had an accumulated deficit of $1.6 billion. Substantially all of our operating losses resulted from costs incurred in connection with our development program and from selling, general and administrative costs associated with our operations. We will continue to manage our spending for clinical trials, marketing approvals, and commercialization, and we may attempt to secure additional cash resources or reduce spend in certain areas as needed to continue commercialization and further development of bempedoic acid and the bempedoic acid / ezetimibe combination tablet or other product candidates.</w:t>
      </w:r>
    </w:p>
    <w:p>
      <w:pPr>
        <w:spacing w:after="0" w:line="16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Our prior losses, combined with expected future losses, have had and will continue to have an adverse effect on our stockholders’ deficit and working capital. We expect to incur operating losses for the immediate future related to our commercialization of NEXLETOL and NEXLIZET and pursing other research and development expenses, as well as other related personnel and activities. Our research and development expenses are expected to remain consistent in 2026 due to the continuation of our pediatric phase III trial and ongoing preclinical pipeline work. We expect to continue to incur research and development expenses as they relate to any other early-stage development programs or additional indications we choose to pursue. We expect our selling, general and administrative expenses for 2026 to be consistent with 2025 as we continue marketing and promotional activities due to the expanded cardiovascular outcomes indication received in March 2024 for NEXLETOL and NEXLIZET. Even though bempedoic acid and the bempedoic acid / ezetimibe combination tablet are approved in the U.S., Europe and several Asian territories for commercial sale, and despite expending these costs, bempedoic acid or the bempedoic acid / ezetimibe combination tablet may not be commercially successful drugs. As a public company, we have incurred and will continue to incur additional costs associated with operating as a public company. As a result, we expect to continue to incur operating losses for the immediate future. Because of the numerous risks and uncertainties associated with developing and commercializing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Capital Needs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substantial additional capital in the future. If additional capital is not available, we will have to delay, reduce or cease operations.</w:t>
      </w:r>
    </w:p>
    <w:p>
      <w:pPr>
        <w:spacing w:after="0" w:line="224"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In February 2020 we announced that the FDA approved NEXLETOL and NEXLIZET. In April 2020, we announced that the EC approved NILEMDO and NUSTENDI.</w:t>
      </w:r>
    </w:p>
    <w:p>
      <w:pPr>
        <w:spacing w:after="0" w:line="15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expect that our continued commercialization efforts and any additional clinical studies that we undertake for the further clinical development of bempedoic acid and the bempedoic acid / ezetimibe combination tablet or any other product candidate we pursue will consume substantial additional financial resources. We expect that our existing cash and cash equivalents and proceeds to be received in the future for product sales and under our collaboration agreements are sufficient to fund operations for the foreseeable future. We may look to secure additional cash resources should positive corporate events or milestones provide sufficient opportunities. We may, however, need to secure additional cash resources to continue to fund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commercialization and further clinical development of bempedoic acid and the bempedoic acid / ezetimibe combination tablet or any other product candidate. Our future capital requirements may be substantial and will depend on many factors including:</w:t>
      </w:r>
    </w:p>
    <w:p>
      <w:pPr>
        <w:spacing w:after="0" w:line="151" w:lineRule="exact"/>
        <w:rPr>
          <w:sz w:val="20"/>
          <w:szCs w:val="20"/>
          <w:color w:val="auto"/>
        </w:rPr>
      </w:pPr>
    </w:p>
    <w:p>
      <w:pPr>
        <w:ind w:left="620" w:right="120" w:hanging="307"/>
        <w:spacing w:after="0" w:line="288"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sales, and our ability to secure and maintain adequate reimbursement coverage, in the United States, Europe and other territories around the world;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and payment of potential debt maturities;</w:t>
      </w:r>
    </w:p>
    <w:p>
      <w:pPr>
        <w:spacing w:after="0" w:line="217"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commercializing bempedoic acid and the bempedoic acid / ezetimibe combination tablet or any future product candidates if we receive marketing approval, including the cost and timing of developing sales and marketing capabilities or entering into strategic collaborations to market and sell bempedoic acid and the bempedoic acid / ezetimibe combination tablet or any future product candidates;</w:t>
      </w:r>
    </w:p>
    <w:p>
      <w:pPr>
        <w:spacing w:after="0" w:line="167"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DSE, DS, Otsuka, or other partners' ability to successfully commercialize bempedoic acid and the bempedoic acid / ezetimibe combination tablet in their respective territories;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milestone payments from our collaboration partners;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characteristics of any additional product candidates we develop or acquire;</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 of meeting regulatory requirements established by the FDA, the EMA and other comparable foreign regulatory authorities;</w:t>
      </w:r>
    </w:p>
    <w:p>
      <w:pPr>
        <w:spacing w:after="0" w:line="217"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bempedoic acid and the bempedoic acid / ezetimibe combination tablet or any future product candidates and any products we successfully commercialize; and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general corporate activities, such as the costs of filing, prosecuting and enforcing patent claims.</w:t>
      </w:r>
    </w:p>
    <w:p>
      <w:pPr>
        <w:spacing w:after="0" w:line="24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Changing circumstances may cause us to consume capital significantly faster than we currently anticipate. Because the outcome of any clinical study is highly uncertain, we cannot reasonably estimate the actual amounts necessary to successfully complete the development, regulatory approval and commercialization of bempedoic acid and the bempedoic acid / ezetimibe combination tablet and any future product candidates. Additional financing may not be available when we need it or may not be available on terms that are favorable to us. In addition, we may seek additional capital due to favorable market conditions or strategic considerations, even if we believe we have sufficient funds for our current or future operating plans. If adequate funds are unavailable to us on a timely basis, or at all, we may not be able to continue the development of bempedoic acid and the bempedoic acid / ezetimibe combination tablet or any future product candidate, or to commercialize bempedoic acid and the bempedoic acid / ezetimibe combination tablet or any future product candidate, if approved.</w:t>
      </w:r>
    </w:p>
    <w:p>
      <w:pPr>
        <w:spacing w:after="0" w:line="171"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do not establish successful collaborations, we may have to alter our development and commercialization plans for bempedoic acid and the bempedoic acid / ezetimibe combination tablet.</w:t>
      </w:r>
    </w:p>
    <w:p>
      <w:pPr>
        <w:spacing w:after="0" w:line="1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drug development programs and commercialization plans for bempedoic acid and the bempedoic acid / ezetimibe combination tablet will require substantial additional cash to fund expenses. We developed and commercialized bempedoic acid and the bempedoic acid / ezetimibe combination tablet in the United States without a partner. However, in order to pursue the broader cholesterol modifying market in the United States, we may also enter into a partnership or co-promotion arrangement with an established pharmaceutical company that has a larger sales force. We are continuing to establish our commercialization and distribution capabilities to support the sales, marketing and distribution of our pharmaceutical products, including through our arrangements with DSE, DS, Otsuka and our other partners. In order to market bempedoic acid and the bempedoic acid / ezetimibe combination tablet in the U.S. we must continue to manage our sales, marketing, managerial, and other non-technical capabilities or make arrangements with third parties to perform these services.</w:t>
      </w:r>
    </w:p>
    <w:p>
      <w:pPr>
        <w:spacing w:after="0" w:line="16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We will face significant competition in seeking appropriate collaborators and these collaboration agreements are complex and time-consuming to negotiate. We may not be able to negotiate collaborations on acceptable terms, or at all. We also could be required to seek collaborators for one or more of our current or future product candidates at an earlier stage than otherwise would be desirable or on terms that are less favorable than might otherwise be acceptable or relinquish or license on unfavorable terms our rights to technologies or product candidates that we otherwise would seek to develop or commercialize ourselves. If that were to occur, we may have to curtail the development or delay commercialization of bempedoic acid or the bempedoic acid / ezetimibe combination tablet in certain geographies, reduce the scope of our sales or marketing activities,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reduce the scope of our commercialization plans, or increase our expenditures and undertake development or commercialization activities at our own expense. If we elect to increase our expenditures to fund development or commercialization activities outside of the United States, the DSE Territory, the DS Territory and Japan on our own, we may need to obtain additional capital, which may not be available to us on acceptable terms, or at all.</w:t>
      </w:r>
    </w:p>
    <w:p>
      <w:pPr>
        <w:spacing w:after="0" w:line="198"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payment obligations under the Credit Agreement with the lenders thereto may adversely affect our financial position or results of operations and our ability to raise additional capital which in turn may increase our vulnerability to adverse regulatory developments or economic or business downturns.</w:t>
      </w:r>
    </w:p>
    <w:p>
      <w:pPr>
        <w:spacing w:after="0" w:line="146" w:lineRule="exact"/>
        <w:rPr>
          <w:sz w:val="20"/>
          <w:szCs w:val="20"/>
          <w:color w:val="auto"/>
        </w:rPr>
      </w:pPr>
    </w:p>
    <w:p>
      <w:pPr>
        <w:ind w:right="80"/>
        <w:spacing w:after="0" w:line="214" w:lineRule="exact"/>
        <w:rPr>
          <w:sz w:val="20"/>
          <w:szCs w:val="20"/>
          <w:color w:val="auto"/>
        </w:rPr>
      </w:pPr>
      <w:r>
        <w:rPr>
          <w:rFonts w:ascii="Times New Roman" w:cs="Times New Roman" w:eastAsia="Times New Roman" w:hAnsi="Times New Roman"/>
          <w:sz w:val="17"/>
          <w:szCs w:val="17"/>
          <w:color w:val="auto"/>
        </w:rPr>
        <w:t>On December 13, 2024, we entered into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or the Loan, which was borrowed in full at closing. Proceeds from the Loan were used to repay a portion of the outstanding obligations under the Company's existing $265.0 million aggregate principal amount 4.00% Convertible Senior Subordinated Notes due November 2025, or the 2025 Notes, and to pay fees and expenses in connection with the Credit Agreement. See in Note 12 "Debt" in the notes to our financial statements included elsewhere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a further discussion on the Credit Agreement and convertible notes.</w:t>
      </w:r>
    </w:p>
    <w:p>
      <w:pPr>
        <w:spacing w:after="0" w:line="154"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The Credit Agreement could have important negative consequences to the holders of our securities. For example, a portion of our cash flow from operations will be needed to pay certain interest to the Lenders and will not be available to fund future operations.</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Interest payments under the Credit Agreement will increase our cash outflows. The Loan bears interest at an annual rate of 9.75% if paid in cash, and 11.75% if paid-in-kind. At our option, interest on the Loan may be paid-in-kind for the first four full fiscal quarters ending after the closing date. As we elected to have interest on the loan paid-in-kind for the quarter ended June 30, 2025 and for the quarter ended September 30, 2025, $9.1 million was added to the principal balance of the Loan. The Credit Agreement requires quarterly interest-only payments for the first four years after the closing date and, thereafter, the Loan will partially amortize in quarterly principal payments of 12.5%, with the outstanding balance to be repaid on the maturity date.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 Failure to pay certain amounts when due would result in a default under the Credit Agreement and result in foreclosure on certain of our assets which would have a material adverse effect.</w:t>
      </w:r>
    </w:p>
    <w:p>
      <w:pPr>
        <w:spacing w:after="0" w:line="3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Credit Agreement contains a financial covenant to maintain minimum liquidity of $50.0 million. The Credit Agreement contains affirmative and negative covenants customary for a senior secured loan. The negative covenants under the Credit Agreement limit our ability and our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exceptions.</w:t>
      </w:r>
    </w:p>
    <w:p>
      <w:pPr>
        <w:spacing w:after="0" w:line="17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Credit Agreement also contains certain customary events of default, including, but not limited to, a failure to comply with the covenants in the Credit Agreement. If an event of default has occurred and continues beyond any applicable cure period, the administrative agent or the required lenders may accelerate all outstanding obligations under the Credit Agreement and/or exercise any other remedies provided under the loan documents. Any declaration by the Lenders of an event of default under the Credit Agreement could significantly harm our financial condition, business and prospects and could cause the price of our common stock to decline.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Convertible Notes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our debt may require a significant amount of cash. We may not have sufficient cash flow from our business to pay our indebtedness.</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November 2020, we completed a private offering of Notes, issuing an aggregate principal amount of $280.0 million of 4.00% convertible senior subordinated notes due 2025, or the 2025 Notes. The 2025 Notes bear interest at a fixed rate of 4.00% per annum and is payable semi-annually in arrears on May 15 and November 15 of each year, beginning on May 15, 2021. In October 2021, we announced that we had negotiated an exchange agreement with two co-managed holders of the notes to</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exchange with the Company $15.0 million aggregate principal amount of Notes held in the aggregate by them (and accrued interest thereon) for shares of the Company’s common stock, par value $0.001 per share.</w:t>
      </w:r>
    </w:p>
    <w:p>
      <w:pPr>
        <w:spacing w:after="0" w:line="1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In December, 2024, we entered into privately negotiated exchange and subscription agreements, or the Agreements, with certain holders of our outstanding 2025 Notes. Pursuant to the Agreements, we issued $100.0 million aggregate principal amount of 5.75% Convertible Senior Subordinated Notes due 2030, or the 2030 Notes, consisting of (a) approximately $57.5 million principal amount of 2030 Notes, along with approximately $153.4 million in cash, including accrued interest, issued in exchange for approximately $210.1 million principal amount of the 2025 Notes, or the Exchange Transaction, and (b) approximately $42.5 million principal amount of 2030 Notes for cash. In November 2025, the Company repaid the 2025 notes in full for $54.9 million. As of December 31, 2025, $100.0 million aggregate principal amount of our 2030 Notes remain outstanding.</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addition, in December 2024, we entered into a credit agreement, or the Credit Agreement, with Athyrium Opportunities IV Co-Invest 1 LP, HCR Stafford Fund II, L.P., HCR Potomac Fund II, L.P. and HCRX Investments HoldCo, L.P., as initial lenders. The Credit Agreement provides for a $150.0 million term loan, or the Loan, which was borrowed in full at closing. Proceeds from the Loan was used to repay a portion of the Company’s outstanding obligations under its existing 2025 Notes and to pay fees and expenses incurred in connection with entry into the Credit Agreement.</w:t>
      </w:r>
    </w:p>
    <w:p>
      <w:pPr>
        <w:spacing w:after="0" w:line="19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Loan bears interest at an annual rate of 9.75% if paid in cash, and 11.75% if paid-in-kind. At the Company’s option, interest on the Loan may be paid-in-kind for the first four full fiscal quarters ending after the closing date. As we elected to have interest on the loan paid-in-kind for the quarter ended June 30, 2025 and for the quarter ended September 30, 2025, $9.1 million was added to the principal balance of the Loan. The Credit Agreement requires quarterly interest-only payments for the first four years after the closing date and, thereafter, the Loan will partially amortize in quarterly principal payments of 12.50%, with the outstanding balance to be repaid on December 13, 2029, which is the fifth anniversary of the closing date; provided that, such amortization may be adjusted pursuant to the terms of the Credit Agreement. The Company may, at its option, prepay the Loan in whole or in part at any time, subject to concurrent payment of certain fees and, if prepaid (a) within the first two years after closing, a make-whole premium plus 3%, (b) after the second anniversary of closing and on or prior to the third anniversary, a prepayment premium of 3% and (c) after the third anniversary of closing and on or prior to the fourth anniversary, a prepayment premium of 1%.</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indebtedness, including under our Credit Agreement and the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or in such obligations being accelerated by our lenders which, if not cured or waived, could result in the acceleration of our debt.</w:t>
      </w:r>
    </w:p>
    <w:p>
      <w:pPr>
        <w:spacing w:after="0" w:line="170" w:lineRule="exact"/>
        <w:rPr>
          <w:sz w:val="20"/>
          <w:szCs w:val="20"/>
          <w:color w:val="auto"/>
        </w:rPr>
      </w:pPr>
    </w:p>
    <w:p>
      <w:pPr>
        <w:jc w:val="both"/>
        <w:ind w:right="6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not have the ability to raise the funds necessary for cash settlement upon conversion of the Notes or to repurchase the Notes for cash upon a fundamental change, and our future debt may contain limitations on our ability to pay cash upon conversion of the Notes or to repurchase the Notes.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Holders of the Notes have the right to require us to repurchase their Notes upon the occurrence of a fundamental change (as defined in the indenture governing the Notes) at a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such notes or to pay any cash payable on future conversions of the Notes as required by such indenture would constitute a default under such indenture. A default under the indenture governing the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In addition, our indebtedness, combined with our other financial obligations and contractual commitments, could have other important consequences. For example, it could:</w:t>
      </w:r>
    </w:p>
    <w:p>
      <w:pPr>
        <w:spacing w:after="0" w:line="190" w:lineRule="exact"/>
        <w:rPr>
          <w:sz w:val="20"/>
          <w:szCs w:val="20"/>
          <w:color w:val="auto"/>
        </w:rPr>
      </w:pPr>
    </w:p>
    <w:p>
      <w:pPr>
        <w:ind w:left="620" w:right="480" w:hanging="307"/>
        <w:spacing w:after="0" w:line="236"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make us more vulnerable to adverse changes in general U.S. and worldwide economic, industry and competitive conditions and adverse changes in government regulation;</w:t>
      </w:r>
    </w:p>
    <w:p>
      <w:pPr>
        <w:spacing w:after="0" w:line="211"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limit our flexibility in planning for, or reacting to, changes in our business and our industry;</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place us at a disadvantage compared to our competitors who have less debt;</w:t>
      </w:r>
    </w:p>
    <w:p>
      <w:pPr>
        <w:spacing w:after="0" w:line="223"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limit our ability to borrow additional amounts to fund acquisitions, for working capital and for other general corporate purposes; and</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make an acquisition of our company less attractive or more difficult.</w:t>
      </w:r>
    </w:p>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conditional conversion feature of the Notes, if triggered, may adversely affect our financial condition and results of operations.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relating to our Notes may affect the value of our common stock.</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conversion of some or all of the Notes would dilute the ownership interests of existing stockholders to the extent we satisfy our conversion obligation by delivering shares of our common stock upon any conversion of such Notes. Our Notes may become in the future convertible at the option of their holders under certain circumstances. If holders of our Notes elect to convert their notes, we may settle our conversion obligation by delivering to them a significant number of shares of our common stock, which would cause dilution to our existing stockholders.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existing stockholders, restrict our operations or require us to relinquish rights.</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may seek additional cash resources through a combination of collaborations with third parties, strategic alliances, licensing arrangements, permitted debt financings, permitted royalty-based financings, private and public equity offerings or through other sources.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Debt or royalty-based financings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such as the collaboration arrangements with DSE, Otsuka and DS and the royalty sale agreement, we may have to relinquish valuable rights to bempedoic acid or the bempedoic acid / ezetimibe combination tablet, our intellectual property, future revenue streams or grant licenses on terms that are not favorable to us. For instance, as part of the Credit Agreement, the lenders thereto have the right to receive certain extraordinary payments from us and we have granted the lenders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74"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executive officers, directors, and principal stockholders, if they choose to act together, will continue to have the ability to exert significant influence over matters subject to stockholder approval.</w:t>
      </w:r>
    </w:p>
    <w:p>
      <w:pPr>
        <w:spacing w:after="0" w:line="14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At December 31, 2025, our executive officers, directors, combined with our stockholders who own more than 5% of our outstanding capital stock, and entities affiliated with certain of our directors beneficially owned approximately 15% of our outstanding voting common stock. These stockholders have the ability to influence us through their ownership position. These stockholders may be able to determine the outcome of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22" w:lineRule="exact"/>
        <w:rPr>
          <w:sz w:val="20"/>
          <w:szCs w:val="20"/>
          <w:color w:val="auto"/>
        </w:rPr>
      </w:pPr>
    </w:p>
    <w:p>
      <w:pPr>
        <w:ind w:right="7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us, even one that may be beneficial to our stockholders, more difficult and may prevent attempts by our stockholders to replace or remove our current management.</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Provisions in our certificate of incorporation and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3"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4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investment in shares of our common stock will depend upon any future appreciation in their value. There is no guarantee that shares of our common stock will appreciate in value or even maintain the price at which you purchased them.</w:t>
      </w:r>
    </w:p>
    <w:p>
      <w:pPr>
        <w:spacing w:after="0" w:line="14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an investment in our stock may decline. If we fail to comply with the continuing listing standards of Nasdaq, our securities could be delisted</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common stock has experienced, and may continue to experience, substantial price volatility. The trading price of common stock may fluctuate significantly in response to a number of factors, many of which are beyond our control. For instance, if our financial results are below the expectations of securities analysts and investors, the market price of our common stock could decrease, perhaps significantly. Other factors that may affect the market price of common stock, including announcements relating to significant corporate transactions, fluctuations in quarterly and annual financial results, operating and stock price performance of companies that investors deem comparable to us, changes in government regulation or related proposals and international conflict. In addition, the U.S. securities markets have experienced significant price and volume fluctuations, and these fluctuations often have been unrelated to the operating performance of companies in these markets. Any volatility of or a significant decrease in the market price of common stock could also limit our ability to raise capital by issuing additional equity. Further, if we were to be the object of securities class action litigation as a result of volatility in common stock price or for other reasons, it could result in substantial costs and diversion of management’s attention and resources, which could negatively affect our financial results. The occurrence of any one or more of the factors noted in these risk factors could cause the market price of our common stock to be below the $1.00 Nasdaq minimum price requirement.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16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Our commercial success will depend in part on our success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67"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As of December 31, 2025, our patent estate, including patents we own, on a worldwide basis, included approximately 12 issued United States patents and 12 pending United States patent applications and over 40 issued patents and over 80 pending patent applications in other foreign jurisdictions. Of our worldwide patent estate, only a subset of our patents and pending patent applications relates to our bempedoic acid program.</w:t>
      </w:r>
    </w:p>
    <w:p>
      <w:pPr>
        <w:spacing w:after="0" w:line="15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Bempedoic acid is claimed in U.S. Patent No. 7,335,799 that is scheduled to expire in December 2030, which includes 711 days of patent term adjustment and five years of patent term extension. We believe that this patent could also be the subject of an additional six month pediatric exclusivity period. We have one granted European patent that has been validated in numerous European countries including France, Germany, Great Britain, Ireland, Italy, the Netherlands, Spain, Sweden and Switzerland. We obtained five year patent term extensions via supplementary protection certificates for 24 national patents validated from the granted European patent, which extends our patent protection in those countries until 2028.</w:t>
      </w:r>
    </w:p>
    <w:p>
      <w:pPr>
        <w:spacing w:after="0" w:line="20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In addition, we own one patent family that includes U.S. Patent Nos. 11,407,705 and 11,987,548, directed to methods of manufacturing high purity bempedoic acid; U.S. Patent Nos. 11,613,511, 12,398,087 and 12,404,227, directed to compositions of matter of high purity bempedoic acid; U.S. Patent No. 11,760,714, as well as U.S. Patent No. 12,398,087 discussed above, are directed to pharmaceutical formulations containing high purity bempedoic acid; U.S. Patent No. 11,926,584 directed to methods of lowering LDL-C using high purity bempedoic acid and two pending U.S. patent applications directed to additional compositions of matter of high purity bempedoic acid and methods of treatment using the same; and six granted patents and 19 pending patent applications outside of the United States. U.S. Patent Nos. 11,407,705, 11,613,511, 11,760,714, 11,926,584, 11,987,548, 12,398,087 and 12,404,227 and the other patent family members, if issued, are scheduled to expire in June 2040.</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addition, we own three patent families in which we are pursuing patent protection for our bempedoic acid / ezetimibe combination tablet and our proposed fixed dose combination of bempedoic acid and one or more statins. The first patent family includes U.S. Patent Nos. 10,912,751 and 11,744,816, directed to methods of treating familial hypercholesterolemia or lowering LDL-C with a bempedoic acid / ezetimibe combination tablet which are scheduled to expire in March 2036.</w:t>
      </w:r>
    </w:p>
    <w:p>
      <w:pPr>
        <w:spacing w:after="0" w:line="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This family also includes one pending U.S. patent application, and 10 granted patents and 9 pending applications outside the U.S., directed to methods of treatment using the bempedoic acid / ezetimibe combination tablet. The second patent family includes one pending U.S. patent application, and 13 granted patents and 22 pending applications outside the U.S., directed to pharmaceutical compositions of bempedoic acid and ezetimibe and methods of manufacturing our bempedoic acid / ezetimibe combination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7"/>
          <w:szCs w:val="17"/>
          <w:color w:val="auto"/>
        </w:rPr>
        <w:t>tablet. The third patent family includes one issued U.S. patent, U.S. Patent No. 11,116,739, one pending U.S. patent application, and 13 granted patents and 9 pending applications outside the U.S., directed to fixed dose combinations of bempedoic acid and one or more statins and/or methods of using such fixed dose combinations. U.S. Patent No. 11,116,739 is scheduled to expire in March 2036. A European patent in this patent family is currently being opposed at the European Patent Office.</w:t>
      </w:r>
    </w:p>
    <w:p>
      <w:pPr>
        <w:spacing w:after="0" w:line="2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may not have identified all patents, published applications or published literature that affect our business either by blocking our ability to commercialize our products and drug candidates, by preventing the patentability of one or more aspects of our products and drug candidates to us or our licensors or co-owners, or by covering the same or similar technologies that may affect our ability to market our products and drug candidates. For example, we (or the licensor of a drug candidate to us) may not have conducted a patent clearance search to identify potentially obstructing third party patents. Moreover, patent applications in the United States are maintained in confidence for up to 18 months after their filing. In some cases, however, patent applications remain confidential in the USPTO, for the entire time prior to issuance as a U.S. patent. Patent applications filed in countries outside of the United States are not typically published until at least</w:t>
      </w:r>
    </w:p>
    <w:p>
      <w:pPr>
        <w:spacing w:after="0" w:line="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18 months from their first filing date. Similarly, publication of discoveries in the scientific or patent literature often lags behind actual discoveries. We cannot be certain that we or our licensors or co-owners were the first to invent, or the first to file, patent applications covering our products and drug candidates.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Others may have filed patent applications or received patents that conflict with patents or patent applications that we own, have filed or have licensed, either by claiming the same methods, compounds or uses or by claiming methods, compounds or uses that could dominate those owned by or licensed to us. In addition, we may not be aware of all patents or patent applications that may affect our ability to make, use or sell any of our products or drug candidates. Any conflicts resulting from third-party patent applications and patents could affect our ability to obtain the necessary patent protection for our products or processes. If other companies or entities obtain patents with conflicting claims, we may be required to obtain licenses to these patents or to develop or obtain alternative technology. We may not be able to obtain any such licenses on acceptable terms or at all. Any failure to obtain such licenses could delay or prevent us from using discovery-related technology to pursue the development or commercialization of our products or drug candidates, which would adversely affect our business.</w:t>
      </w:r>
    </w:p>
    <w:p>
      <w:pPr>
        <w:spacing w:after="0" w:line="16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We cannot assure you that any of our patents have, or that any of our pending patent applications will mature into issued patents that will include, claims with a scope sufficient to protect bempedoic acid or the bempedoic acid / ezetimibe combination tablet or any other product candidates. Others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inter partes review and post-grant review proceedings, supplemental examination and may be challenged in district court. Patents granted in certain other countries may be subjected to revocation, opposition or comparable proceedings lodged in various national and regional patent offices, and national courts. These proceedings could result in either loss of the patent or denial of the patent application or loss or reduction in the scope of one or more of the claims of the patent or patent application. For example, a European Unified Patent Court (UPC) came into force during 2023. The UPC is a common patent court to hear patent infringement and revocation proceedings effective for member states of the EU.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Moreover, such interference, re- examination, post-grant review, inter partes review, supplemental examination, opposition, or revocation proceedings may be costly. Thus, any patents that we may own or exclusively license may not provide any protection against competitors. Furthermore, an adverse decision in an interference proceeding can result in a third-party receiving the patent right sought by us, which in turn could affect our ability to develop, market or otherwise commercialize bempedoic acid and the bempedoic acid / ezetimibe combination tablet.</w:t>
      </w:r>
    </w:p>
    <w:p>
      <w:pPr>
        <w:spacing w:after="0" w:line="21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Furthermore, the issuance of a patent, while presumed valid and enforceable, is not conclusive as to its validity or its enforceability and it may not provide us with adequate proprietary protection or competitive advantages against competitors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7"/>
          <w:szCs w:val="17"/>
          <w:color w:val="auto"/>
        </w:rPr>
        <w:t>Furthermore, given the amount of time required for the development, testing and regulatory review of new product candidates, patents protecting such candidates might expire before or shortly after such candidates are commercialized. We have obtained a five-year patent term extension in the United States for U.S. Patent No. 7,335,799 and have obtained five-year supplementary protection certificates for one of the granted, counterpart European patents. In the United States, the Hatch-Waxman Act permits a patent term extension of up to five years beyond the normal expiration of the patent, but the total patent term including the restoration period must not exceed 14 years following FDA approval. However, any equivalent regulatory authority in other countries, may not agree with our assessment of whether such extensions are available, and may refuse to grant extensions to our patents, or may grant shorter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21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if any,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in any proceeding, a court invalidated or found unenforceable our patents covering bempedoic acid or the bempedoic acid / ezetimibe combination tablet, our financial position and results of operations would be materially and adversely impacted. In addition, if a court found that valid, enforceable patents held by third parties covered bempedoic acid or the bempedoic acid / ezetimibe combination tablet, our financial position and results of operations would also be materially and adversely impacted.</w:t>
      </w:r>
    </w:p>
    <w:p>
      <w:pPr>
        <w:spacing w:after="0" w:line="17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Furthermore, in March, April, June and August 2024, we received notices from nine pharmaceutical companies, six of which filed exclusively with respect to NEXLETOL and four of which filed with respect to NEXLETOL and NEXLIZET, that each company had filed an ANDA, with the FDA seeking approval of a generic version of NEXLETOL and/or NEXLIZET, as applicable. In January 2026, we received an additional notice from one of the pharmaceutical companies with respect to NEXLIZET. The ANDAs each contained Paragraph IV certifications alleging that certain of our Orange Book listed patents covering NEXLETOL or NEXLIZET, as applicable, are invalid and/or will not be infringed by each ANDA Filer’s manufacture, use or sale of the medicine for which the ANDA was submitted. It is possible that one or more additional companies may file with the FDA an ANDA for a generic version of, or an 505(b)(2) NDA that references, one or both of bempedoic acid or bempedoic acid / ezetimibe combination tablet, in which the competitor would claim that our patents are invalid or not infringed. Competition that our approved products could face from an approved generic and other versions of our approved products could materially and adversely affect our future revenue, profitability, and cash flows and substantially limit our ability to obtain a return on the investments we have made in developing bempedoic</w:t>
      </w:r>
    </w:p>
    <w:p>
      <w:pPr>
        <w:spacing w:after="0" w:line="4" w:lineRule="exact"/>
        <w:rPr>
          <w:sz w:val="20"/>
          <w:szCs w:val="20"/>
          <w:color w:val="auto"/>
        </w:rPr>
      </w:pPr>
    </w:p>
    <w:p>
      <w:pPr>
        <w:jc w:val="both"/>
        <w:ind w:right="500"/>
        <w:spacing w:after="0" w:line="244" w:lineRule="auto"/>
        <w:rPr>
          <w:sz w:val="20"/>
          <w:szCs w:val="20"/>
          <w:color w:val="auto"/>
        </w:rPr>
      </w:pPr>
      <w:r>
        <w:rPr>
          <w:rFonts w:ascii="Times New Roman" w:cs="Times New Roman" w:eastAsia="Times New Roman" w:hAnsi="Times New Roman"/>
          <w:sz w:val="17"/>
          <w:szCs w:val="17"/>
          <w:color w:val="auto"/>
        </w:rPr>
        <w:t>acid or bempedoic acid / ezetimibe combination tablet. For further details, please see our risk factor entitled “</w:t>
      </w:r>
      <w:r>
        <w:rPr>
          <w:rFonts w:ascii="Times New Roman" w:cs="Times New Roman" w:eastAsia="Times New Roman" w:hAnsi="Times New Roman"/>
          <w:sz w:val="17"/>
          <w:szCs w:val="17"/>
          <w:i w:val="1"/>
          <w:iCs w:val="1"/>
          <w:color w:val="auto"/>
        </w:rPr>
        <w:t>If the FDA, EMA or other comparable 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regulatory authorities approve generic or other versions of bempedoic acid or the bempedoic acid / ezetimibe combination tablet, the sales of our approved products could be adversely affected.”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degree of future protection for our proprietary rights is uncertain, and we cannot ensure that:</w:t>
      </w:r>
    </w:p>
    <w:p>
      <w:pPr>
        <w:spacing w:after="0" w:line="205" w:lineRule="exact"/>
        <w:rPr>
          <w:sz w:val="20"/>
          <w:szCs w:val="20"/>
          <w:color w:val="auto"/>
        </w:rPr>
      </w:pPr>
    </w:p>
    <w:p>
      <w:pPr>
        <w:ind w:left="620" w:right="40" w:hanging="307"/>
        <w:spacing w:after="0" w:line="288"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patents, or any of our pending patent applications, if issued, will include claims having a scope and patent term sufficient to protect bempedoic acid or the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pending patent applications will result in issued patents;</w:t>
      </w:r>
    </w:p>
    <w:p>
      <w:pPr>
        <w:spacing w:after="0" w:line="217"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able to successfully commercialize bempedoic acid or our bempedoic acid / ezetimibe combination tablet in all of the jurisdictions we intend to pursue before our relevant patents expire;</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were the first to make the inventions covered by each of our patents and pending patent applications;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were the first to file patent applications for these inventions;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will not develop similar or alternative technologies that do not infringe our patents;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patents will be held valid and enforceable;</w:t>
      </w:r>
    </w:p>
    <w:p>
      <w:pPr>
        <w:spacing w:after="0" w:line="217" w:lineRule="exact"/>
        <w:rPr>
          <w:rFonts w:ascii="Times New Roman" w:cs="Times New Roman" w:eastAsia="Times New Roman" w:hAnsi="Times New Roman"/>
          <w:sz w:val="17"/>
          <w:szCs w:val="17"/>
          <w:color w:val="auto"/>
        </w:rPr>
      </w:pPr>
    </w:p>
    <w:p>
      <w:pPr>
        <w:ind w:left="620" w:right="700" w:hanging="307"/>
        <w:spacing w:after="0" w:line="288"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patents issued to us will provide a basis for an exclusive market for our commercially viable products, will provide us with any competitive advantages or will not be challenged by third parties;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develop additional proprietary technologies or product candidates that are separately patentable;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our commercial activities or products, or those of our licensors, will not infringe upon the patents of others.</w:t>
      </w:r>
    </w:p>
    <w:p>
      <w:pPr>
        <w:spacing w:after="0" w:line="24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71" w:lineRule="exact"/>
        <w:rPr>
          <w:sz w:val="20"/>
          <w:szCs w:val="20"/>
          <w:color w:val="auto"/>
        </w:rPr>
      </w:pPr>
    </w:p>
    <w:p>
      <w:pPr>
        <w:ind w:right="4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4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contract manufacturers, vendors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we cannot guarantee that we have executed these agreements with each party that may have or have had access to our trade secrets.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Moreover, because we acquired certain rights from Pfizer, we must rely on Pfizer’s practices, and those of its predecessors, with regard to parties that may have had access to our trade secrets related thereto before our incorporation. Any party with whom we or they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disclose such trade secrets, from using that technology or information to compete with us. If any of our trade secrets were to be disclosed, either intentionally or unintentionally, to or independently developed by a competitor or other third-party, our competitive position would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U.S. patent law could diminish the value of patents in general, thereby impairing our ability to protect our products.</w:t>
      </w:r>
    </w:p>
    <w:p>
      <w:pPr>
        <w:spacing w:after="0" w:line="22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United States has enacted the America Invents Act of 2011, which resulted in significant changes to the U.S. patent system.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4"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could become dependent on licensed intellectual property. If we were to lose our rights to licensed intellectual property, we may not be able to continue developing or commercializing bempedoic acid or the bempedoic acid / ezetimibe combination tablet or other product candidates, if approved.</w:t>
      </w:r>
    </w:p>
    <w:p>
      <w:pPr>
        <w:spacing w:after="0" w:line="1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the future, we may enter into license(s) to third-party intellectual property that are necessary or useful to our business. Such license agreement(s) will likely impose various obligations upon us, and our licensor(s) may have the right to terminate the license thereunder in the event of a material breach or, in some cases, at will. Future licensor(s) may allege that we have breached our license agreement with them and accordingly seek to terminate our license or decide to terminate our license at will. If successful, this could result in our loss of the right to use the licensed intellectual property, which could materially adversely affect our ability to develop and commercialize our products and product candidates as well as harm our competitive business position and our business prospects.</w:t>
      </w:r>
    </w:p>
    <w:p>
      <w:pPr>
        <w:spacing w:after="0" w:line="167" w:lineRule="exact"/>
        <w:rPr>
          <w:sz w:val="20"/>
          <w:szCs w:val="20"/>
          <w:color w:val="auto"/>
        </w:rPr>
      </w:pPr>
    </w:p>
    <w:p>
      <w:pPr>
        <w:ind w:right="8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4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Filing, prosecuting and defending patents on our products and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with us.</w:t>
      </w:r>
    </w:p>
    <w:p>
      <w:pPr>
        <w:spacing w:after="0" w:line="1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emerging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even if successful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16"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a collaborative partner terminates or fails to perform its obligations under an agreement with us, the commercialization of bempedoic acid and the bempedoic acid / ezetimibe combination tablet could be delayed or terminated.</w:t>
      </w:r>
    </w:p>
    <w:p>
      <w:pPr>
        <w:spacing w:after="0" w:line="1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In January 2019, we entered into a license and collaboration agreement with DSE, pursuant to which DSE will be responsible for the commercialization of bempedoic acid and the bempedoic acid / ezetimibe combination tablet in the DSE Territory. In April 2020, we entered into a license and collaboration agreement with Otsuka, pursuant to which Otsuka will be responsible for the commercialization of bempedoic acid and the bempedoic acid / ezetimibe combination tablet in Japan. Otsuka will be responsible for all development and regulatory activities in Japan. In addition, Otsuka will fund all clinical development costs associated with the program in Japan. In April 2021, we entered into a license and collaboration agreement with DS, pursuant to which DS will be responsible for the commercialization of bempedoic acid and the bempedoic acid /</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ezetimibe combination in South Korea, Taiwan, Hong Kong, Thailand, Vietnam, Brazil, and Macao, or the DS Territory. Except for certain development activities in South Korea and Taiwan, DS will be responsible for development and commercialization in these territories. We have entered and may also enter into similar arrangements with other partners or collaborators to commercialize bempedoic acid and the bempedoic acid / ezetimibe combination tablet, outside of the United States, Europe, Japan, or the DS Territory, or to further commercialize bempedoic acid or the bempedoic acid / ezetimibe combination tablet in the broader cholesterol modifying market in the United States. If DSE, Otsuka, DS or any of our current or future collaborative partners does not devote sufficient time and resources to the collaboration arrangement with us, we may not realize the potential commercial benefits of the arrangement, and our results of operations may be materially adversely affected. In addition, if DSE, Otsuka or DS or any such current or future collaboration partner were to breach or terminate its arrangements with us, the commercialization of bempedoic acid or the bempedoic acid / ezetimibe combination tablet could be delayed, curtailed or terminated because we may not have sufficient financial resources or capabilities to continue commercialization of bempedoic acid or the bempedoic acid / ezetimibe combination tablet on our own in such locations.</w:t>
      </w:r>
    </w:p>
    <w:p>
      <w:pPr>
        <w:spacing w:after="0" w:line="2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Pursuant to the collaboration arrangement with DSE, we will receive significant commercial and regulatory milestone payments, as well as tiered fifteen percent (15%) to twenty-five percent (25%) royalties on certain net DSE Territory sales. Pursuant to the collaboration arrangement with Otsuka, we will receive significant commercial and regulatory milestone payments, as well as tiered twelve percent (12%) to thirty-three percent (33%) royalties on certain net sales in Japan. Pursuant to the collaboration agreement with DS, we will receive significant commercial milestone payments, as well as tiered royalties ranging from five percent (5%) to twenty percent (20%) on net sales in the DS Territory. Similar to these collaboration arrangements, much of the potential revenue from future collaborations may consist of contingent payments, such as payments for achieving regulatory milestones or royalties payable on sales of drugs. The milestone and royalty revenue that we may receive under these collaborations will depend upon our collaborators’ ability to successfully introduce, market and sell new products, and on our (or our partners') ability to obtain the relevant regulatory approvals. In addition, collaborators may decide to enter into arrangements with third parties to commercialize products developed under collaborations using our technologies, which could reduce the milestone and royalty revenue that we may receive, if any. DSE, Otsuka, DS and our current and future collaboration partners may fail to develop or effectively commercialize products using our products or technologies because they:</w:t>
      </w:r>
    </w:p>
    <w:p>
      <w:pPr>
        <w:spacing w:after="0" w:line="388" w:lineRule="exact"/>
        <w:rPr>
          <w:sz w:val="20"/>
          <w:szCs w:val="20"/>
          <w:color w:val="auto"/>
        </w:rPr>
      </w:pPr>
    </w:p>
    <w:p>
      <w:pPr>
        <w:jc w:val="both"/>
        <w:ind w:left="620" w:right="200" w:hanging="307"/>
        <w:spacing w:after="0" w:line="270"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not to devote the necessary resources due to internal constraints, such as limited personnel with the requisite expertise, limited cash resources or specialized equipment limitations, or the belief that other drug development programs may have a higher likelihood of obtaining marketing approval or may potentially generate a greater return on investment;</w:t>
      </w:r>
    </w:p>
    <w:p>
      <w:pPr>
        <w:spacing w:after="0" w:line="167"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to pursue other technologies or develop other product candidates, either on their own or in collaboration with others, including our competitors, to treat the same diseases targeted by our own collaborative programs;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have sufficient resources necessary to carry the product candidate through clinical development, marketing approval and commercialization;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cannot obtain the necessary marketing approvals.</w:t>
      </w:r>
    </w:p>
    <w:p>
      <w:pPr>
        <w:spacing w:after="0" w:line="24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Receipt of any milestone payment amounts is subject to risks and uncertainties, including our (or our partners) obtaining the relevant regulatory approvals and marketing authorizations, the absence of any material disagreements or disputes with regulators or our collaboration partners and the ultimate timing and payment of such milestone payment amounts by our collaboration partners. In addition, while we expect that we will be entitled to the foregoing milestone payments, our inability to receive some or all of our milestone payments and other royalty amounts from our collaboration partners may significantly impact our future capital needs.</w:t>
      </w:r>
    </w:p>
    <w:p>
      <w:pPr>
        <w:spacing w:after="0" w:line="1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Competition may negatively impact a partner’s focus on and commitment to bempedoic acid or the bempedoic acid / ezetimibe combination tablet and, as a result, could delay or otherwise negatively affect the commercialization of bempedoic acid or the bempedoic acid / ezetimibe combination tablet outside of the United States or in the broader cholesterol modifying market in the United States. If DSE, Otsuka, DS and our current or future collaboration partners fail to develop or effectively commercialize bempedoic acid or the bempedoic acid / ezetimibe combination tablet for any of these reasons, our sales of bempedoic acid or the bempedoic acid / ezetimibe combination tablet may be limited, which would have a material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will be unable to directly control all aspects of our clinical studies due to our reliance on CROs and other third parties that assist us in conducting clinical studies.</w:t>
      </w:r>
    </w:p>
    <w:p>
      <w:pPr>
        <w:spacing w:after="0" w:line="1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relied on CROs in our prior clinical studies, including our global pivotal Phase 3 clinical studies and our pivotal Phase 3 1002FDC-053 clinical study and the CLEAR Outcomes CVOT, as well as any future clinical studies we may undertake. As a result, we will have less direct control over the conduct, timing and completion of future clinical studies and the management of data developed through the clinical studies than would be the case if we were relying entirely upon our own staff. Communicating with outside parties can also be challenging, potentially leading to mistakes as well as difficulties in coordinating activities. Outside parties may:</w:t>
      </w:r>
    </w:p>
    <w:p>
      <w:pPr>
        <w:spacing w:after="0" w:line="173"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staffing difficulties;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comply with contractual obligations;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regulatory compliance issues;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undergo changes in priorities or become financially distressed;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relationships with other entities, some of which may be our competitors.</w:t>
      </w:r>
    </w:p>
    <w:p>
      <w:pPr>
        <w:spacing w:after="0" w:line="244"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These factors may materially adversely affect the willingness or ability of third parties to conduct our clinical studies and may subject us to unexpected cost increases that are beyond our control.</w:t>
      </w:r>
    </w:p>
    <w:p>
      <w:pPr>
        <w:spacing w:after="0" w:line="1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Moreover, the FDA requires us to comply with standards, commonly referred to as Good Clinical Practices, for conducting, recording, and reporting the results of clinical studies to assure that data and reported results are credible and accurate and that the rights, integrity and confidentiality of clinical study participants are protected. Our reliance on third parties that we do not control does not relieve us of these responsibilities and requirements.</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Foreign CROs may be subject to U.S. legislation or investigations, sanctions, trade restrictions and other foreign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potential therapies and could adversely affect our financial condition and business prospects. For example, in December 2025, the National Defense Authorization Act for Fiscal Year 2026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and from expending certain federal loan or grant funds for such equipment or services.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The potential downstream adverse impacts on entities having only commercial relationships with any impacted biotechnology providers is unknown but may include supply chain disruptions or delays. Regional or single-source dependencies may in some cases accentuate these risks. For example, the pharmaceutical industry generally, and in some instances our Company,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the enactment of the BIOSECURE Act or if a similar law were to be enacted. Problems with the timeliness or quality of the work of any CRO may lead us to seek to terminate our relationship with any such CRO and use an alternative service provider. Making this change may be costly and may delay our clinical studies, and contractual restrictions may make such a change difficult or impossible to effect. If we must replace any CRO that is conducting our clinical studies, our clinical studies may have to be suspended until we find another CRO that offers comparable services. The time that it takes us to find alternative organizations may cause a delay in the commercialization of bempedoic acid or the bempedoic acid / ezetimibe combination tablet or may cause us to incur significant expenses to replicate data that may be lost. Although we do not believe that any CRO on which we may rely will offer services that are not available elsewhere, it may be difficult to find a replacement organization that can conduct our clinical studies in an acceptable manner and at an acceptable cost. Any delay in or inability to complete our clinical studies could significantly compromise our ability to secure regulatory approval of bempedoic acid or the bempedoic acid / ezetimibe combination tablet for additional indications we may seek and preclude our ability to commercialize bempedoic acid or the bempedoic acid / ezetimibe combination tablet, thereby limiting or preventing our ability to generate revenue from its sales.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rely completely on third-party suppliers to manufacture our clinical drug supplies for bempedoic acid and the bempedoic acid / ezetimibe combination tablet and expect to continue to rely on third parties to produce commercial supplies of bempedoic acid and the bempedoic acid / ezetimibe combination tablet and preclinical, clinical and commercial supplies of any future product candidate.</w:t>
      </w:r>
    </w:p>
    <w:p>
      <w:pPr>
        <w:spacing w:after="0" w:line="16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We do not currently have, nor do we plan to acquire, the infrastructure or capability to internally manufacture our commercial supply and clinical drug supply of bempedoic acid and the bempedoic acid / ezetimibe combination tablet, or any future product candidates, for use in the commercialization and conduct of our preclinical studies and clinical studies, and we lack the internal resources and the capability to manufacture any product candidates on a commercial or clinical scale. In addition, we have no control over the production of ezetimibe for the bempedoic acid / ezetimibe combination tablet. The facilities used by our contract manufacturers to manufacture the API and final drug for bempedoic acid, or any future product candidates, must be approved by the FDA and other comparable foreign regulatory agencies pursuant to inspections that would be conducted after submission of our NDA or relevant foreign regulatory submission to the applicable regulatory agency.</w:t>
      </w:r>
    </w:p>
    <w:p>
      <w:pPr>
        <w:spacing w:after="0" w:line="1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While we have monitoring measures and quality agreements in place with our suppliers, we do not control the manufacturing process of, and are completely dependent on, our contract manufacturers to comply with current cGMP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 comparable foreign regulatory agency does not approve these facilities for the manufacture of our products and product candidates or if it withdraws its approval in the future, we may need to find alternative manufacturing facilities, which would adversely impact our ability to commercialize, develop, obtain regulatory approval for or market our products and product candidates. If any contract manufacturer with whom we contract fails to perform its obligations, we may be forced to manufacture the materials ourselves, for which we may not have the capabilities or resources, or enter into an agreement with a different contract manufacturer, which we may not be able to do on reasonable terms, if at all. In either scenario, our commercialization supply or clinical trials supply could be delayed significantly as we establish alternative supply sources. In some cases, the technical skills required to manufacture our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In addition, if we are required to change contract manufacturers for any reason, we will be required to verify that the new contract manufacturer maintains facilities and procedures that comply with quality standards and with all applicable regulations. We will also need to verify, such as through a manufacturing comparability study, that any new manufacturing process will produce our products and product candidates according to the specifications previously submitted to or approved by the FDA or another regulatory authority. The delays associated with the verification of a new contract manufacturer could negatively affect our ability to develop product candidates or commercialize our products in a timely manner or within budget. Furthermore, a contract manufacturer may possess technology related to the manufacturing of our products and product candidates that such contract manufacturer owns independently. This would increase our reliance on such contract manufacturer or require us to obtain a license from such contract manufacturer in order to have another contract manufacturer manufacture our product and product candidates. In addition, in the case of the contract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2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Under the CARES Act, we must have in place a risk management plan (RMP) that identifies and evaluates the risks to the supply of approved drugs for certain serious diseases or conditions for each establishment where the drug or API is manufactured. The RMP will be subject to FDA review during an inspection. If we experience shortages in the supply of our marketed products, our results could be materially impacted.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common stock is likely to be volatile, which could result in substantial losses for purchasers of our common stock.</w:t>
      </w:r>
    </w:p>
    <w:p>
      <w:pPr>
        <w:spacing w:after="0" w:line="25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trading price of our common stock has been, and may continue to be, volatile and could be subject to wide fluctuations in response to various factors, some of which are beyond our control. The stock market in general and the market for pharmaceutical and biotechnology companies in particular have experienced extreme volatility that has often been unrelated to the operating performance of particular companies.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price for our common stock may be influenced by many factors, including:</w:t>
      </w:r>
    </w:p>
    <w:p>
      <w:pPr>
        <w:spacing w:after="0" w:line="244"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partnerships, joint ventures, collaborations or capital commitments;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results of clinical trials of product candidates, or our competitors’ product candidates;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actions with respect to our product candidates or our competitors’ products and product candidates;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or termination of collaborations for our development programs;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discontinuation of any of our development programs;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243" w:lineRule="exact"/>
        <w:rPr>
          <w:rFonts w:ascii="Times New Roman" w:cs="Times New Roman" w:eastAsia="Times New Roman" w:hAnsi="Times New Roman"/>
          <w:sz w:val="17"/>
          <w:szCs w:val="17"/>
          <w:color w:val="auto"/>
        </w:rPr>
      </w:pPr>
    </w:p>
    <w:p>
      <w:pPr>
        <w:ind w:left="620" w:right="460" w:hanging="307"/>
        <w:spacing w:after="0" w:line="270"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applications, issued patents or other proprietary rights, including challenges to the validity, scope or enforceability of our issued patents, litigation or other proceedings arising from ANDA filings or similar regulatory submissions, and our ability to defend and enforce our intellectual property rights;</w:t>
      </w:r>
    </w:p>
    <w:p>
      <w:pPr>
        <w:spacing w:after="0" w:line="19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expenses related to any of our product candidates or clinical development programs;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efforts to develop additional product candidates;</w:t>
      </w:r>
    </w:p>
    <w:p>
      <w:pPr>
        <w:spacing w:after="0" w:line="243" w:lineRule="exact"/>
        <w:rPr>
          <w:rFonts w:ascii="Times New Roman" w:cs="Times New Roman" w:eastAsia="Times New Roman" w:hAnsi="Times New Roman"/>
          <w:sz w:val="17"/>
          <w:szCs w:val="17"/>
          <w:color w:val="auto"/>
        </w:rPr>
      </w:pPr>
    </w:p>
    <w:p>
      <w:pPr>
        <w:ind w:left="620" w:right="560" w:hanging="307"/>
        <w:spacing w:after="0" w:line="288"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expand and advance our pipeline through business development activities, including collaborations, licensing arrangements or other strategic transactions, and our ability to execute and realize the anticipated and potential benefits of any such transactions we may pursue;</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estimates as to our commercial performance, financial results or development timelines;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or expectation of additional financing efforts;</w:t>
      </w:r>
    </w:p>
    <w:p>
      <w:pPr>
        <w:spacing w:after="0" w:line="243" w:lineRule="exact"/>
        <w:rPr>
          <w:rFonts w:ascii="Times New Roman" w:cs="Times New Roman" w:eastAsia="Times New Roman" w:hAnsi="Times New Roman"/>
          <w:sz w:val="17"/>
          <w:szCs w:val="17"/>
          <w:color w:val="auto"/>
        </w:rPr>
      </w:pPr>
    </w:p>
    <w:p>
      <w:pPr>
        <w:ind w:left="620" w:right="460" w:hanging="307"/>
        <w:spacing w:after="0" w:line="288"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our insiders or other stockholders, including shares issuable upon exercise of outstanding stock options and upon vesting of stock units under our stock incentive plans;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financial results or results of companies that are perceived to be similar to us;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 active trading market for our shares is sustained;</w:t>
      </w:r>
    </w:p>
    <w:p>
      <w:pPr>
        <w:spacing w:after="0" w:line="243" w:lineRule="exact"/>
        <w:rPr>
          <w:rFonts w:ascii="Times New Roman" w:cs="Times New Roman" w:eastAsia="Times New Roman" w:hAnsi="Times New Roman"/>
          <w:sz w:val="17"/>
          <w:szCs w:val="17"/>
          <w:color w:val="auto"/>
        </w:rPr>
      </w:pPr>
    </w:p>
    <w:p>
      <w:pPr>
        <w:ind w:left="620" w:right="400" w:hanging="307"/>
        <w:spacing w:after="0" w:line="288"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estimates, evaluations or recommendations by securities analysts, that cover our stock or the failure by one or more securities analysts to continue to cover our stock;</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23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geopolitical, industry and market conditions;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factors described in this “Risk Factors” section.</w:t>
      </w:r>
    </w:p>
    <w:p>
      <w:pPr>
        <w:spacing w:after="0" w:line="24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also cannot guarantee that an active trading market for our shares will be sustained. An inactive trading market for our common stock may impair our ability to raise capital to continue to fund our operations by selling shares and may impair our ability to acquire other companies or technologies by using our shares as consideration.</w:t>
      </w:r>
    </w:p>
    <w:p>
      <w:pPr>
        <w:spacing w:after="0" w:line="18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Complying with public company reporting and other obligations may strain our financial and managerial resources. Additionally, we are obligated to maintain proper and effective internal control over financial reporting. 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9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As a public company, we are required to comply with applicable provisions of the Sarbanes-Oxley Act of 2002, as well as other rules and regulations promulgated by the SEC and the NASDAQ Stock Market LLC, or NASDAQ, which results in significant continuing legal, accounting, administrative and other costs and expenses. The listing requirements of the NASDAQ Capital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are subject to Section 404 of the Sarbanes-Oxley Act of 2002, or Section 404, and the related rules of the SEC that generally require our management and independent registered public accounting firm to report on the effectiveness of our internal control over financial reporting. Section 404 requires an annual management assessment, as well as an opinion from our independent registered public accounting firm, on the effectiveness of our internal control over financial reporting. During the 2023 and 2022 year end audit, due to a change in filing status our independent registered public accounting firm was not required and did not issue a report on the effectiveness of our internal controls over financial reporting. Management assessed our internal controls over financial reporting, including by using a third-party firm, and determined that their internal controls were effective as of December 31, 2024 and 2023. For the year end December 31, 2025, management concluded that our internal controls over financial reporting were not effective due to the material weakness identified as described below. Our independent registered public accounting firm did issue a report on the effectiveness of our internal controls over financial reporting for the year ended December 31, 2025, which is included in Item 9A "Controls and Procedures" on this Annual Report on 10-K.</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During the course of our review and testing, we have previously identified, and may in the future identify deficiencies in our internal control over financial reporting, including material weaknesses, and we may be unable to remediate them in a timely manner. For example, as previously reported in our Quarterly Report on Form 10-Q for the quarter ended June 30, 2025, and as described further below and in Item 9A “Controls and Procedures” on this Annual Report on 10-K, we identified a material weakness in our internal control over financial reporting. Any material weakness could result in our inability to detect errors on a timely basis, which could cause our financial statements to be materially misstated. As a result, we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we are required to timely file accurate quarterly and annual reports with the SEC under the Securities Exchange Act of 1934, as amended, or the Exchange Act. In order to report our results of operations and financial statements on an accurate and timely basis, we depend on contract manufacturing organizations, CROs and other third-party vendors, as applicable, to provide timely and accurate financial information to us. Any failure to report our financial results on an accurate and timely basis could result in sanctions, lawsuits, delisting of our shares from the NASDAQ Capital Market or other adverse consequences that would materially harm our business.</w:t>
      </w:r>
    </w:p>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18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evaluated the effectiveness of our disclosure controls and procedures for the year ended December 31, 2025. Based on such evaluation, our principal executive officer and principal financial officer concluded that our disclosure controls and procedures were not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7"/>
          <w:szCs w:val="17"/>
          <w:color w:val="auto"/>
        </w:rPr>
        <w:t>effective at a reasonable assurance level as of December 31, 2025, due to the material weakness identified in our internal control over financial reporting, as described below.</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disclosed in Item 9A “Controls and Procedures” on this Annual Report on 10-K, in connection with the preparation of our Quarterly Report on Form 10-Q for the quarter ended June 30, 2025, our management discovered that certain information related to our inventory and cost of sales balances was inaccurately reported in our earnings release for the quarter ended June 30, 2025, originally issued and furnished with our Current Report on Form 8-K filed on August 5, 2025. Following discovery of such errors, we filed a Current Report on Form 8-K/A that furnished a corrected version of the earnings release on August 11, 2025. As a result of the foregoing, our principal executive officer and principal financial officer concluded that a material weakness in our internal control over financial reporting existed related to the accounting for inventory held at a certain third-party contract manufacturing organization, and have further concluded that such material weakness had not been remediated as of December 31, 2025.</w:t>
      </w:r>
    </w:p>
    <w:p>
      <w:pPr>
        <w:spacing w:after="0" w:line="21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Following identification of the material weakness disclosed above, and with oversight from the Audit Committee and input from our management, we designed and implemented changes to our processes and controls to remediate the material weakness and to enhance our internal control over financial reporting, including enhanced controls related to inventory existence held at, and movements of inventory between, our third party contract manufacturing organizations. While we believe the steps taken to date and those planned for future implementation will improve the effectiveness of our internal control over financial reporting, we have not completed all remediation efforts. These controls will need to operate for a sufficient period of time for our management to conclude that they are operating effectively. Accordingly, the material weakness will not be considered remediated until our management has concluded, through implementation of these remediation measures and additional testing, that these controls are effective.</w:t>
      </w:r>
    </w:p>
    <w:p>
      <w:pPr>
        <w:spacing w:after="0" w:line="20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While we are in the process of undertaking actions to remediate this material weakness as described above, we cannot assure you that the measures we are taking, when fully implemented, will be sufficient to remediate the material weakness or to avoid the identification of additional material weaknesses in the future. If we are unable to successfully remediate our existing or any future material weaknesses in our internal control over financial reporting in a timely manner, or if we identify any additional material weaknesses, the accuracy and timeliness of our financial reporting may be adversely affected, we may be unable to maintain compliance with securities law requirements regarding timely filing of periodic reports and applicable NASDAQ Capital Market listing requirements, investors may lose confidence in our financial reporting, and our share price may decline as a result. In addition, we could become subject to investigations by NASDAQ, the SEC or other regulatory authorities, which could require additional financial and management resources.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disclosure controls and procedures may not prevent or detect all errors or acts of fraud.</w:t>
      </w:r>
    </w:p>
    <w:p>
      <w:pPr>
        <w:spacing w:after="0" w:line="2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06"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cease publishing research or reports or publish misleading, inaccurate or unfavorable research about us, our business or our market, our stock price and trading volume could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trading market for our common stock is influenced by the research and reports that securities or industry analysts publish about us, our business, our market or</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our competitors. If one or more of the industry analysts who covers us downgrades our stock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stock could decrease,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Increased attention to, and evolving expectations for, environmental, climate change, social, and governance (ESG) initiatives could increase our costs, harm our reputation, or otherwise adversely impact our business.</w:t>
      </w:r>
    </w:p>
    <w:p>
      <w:pPr>
        <w:spacing w:after="0" w:line="17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7"/>
          <w:szCs w:val="17"/>
          <w:color w:val="auto"/>
        </w:rPr>
        <w:t>Companies across industries are facing increasing scrutiny from a variety of stakeholders related to their ESG and sustainability practices, including practices associated with climate change. Investor advocacy groups, certain institutional investors, investment funds, and other influential investors have increasingly focused on ESG practices and have placed increasing importance on the non-financial impacts of their investments.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spacing w:after="0" w:line="18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spacing w:after="0" w:line="19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In addition, in recent years “anti-ESG” sentiment has gained momentum across the United States,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 Therefore, to the extent we take actions that are seen as positive to some investors, other investors may take issue with such actions or face regulatory pressure to refrain from investing in, or divest from, our business. To the extent ESG matters negatively impact our reputation, it may also impede our ability to compete as effectively to attract and retain employees, which may adversely impact our operations.</w:t>
      </w:r>
    </w:p>
    <w:p>
      <w:pPr>
        <w:spacing w:after="0" w:line="19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In addition, we expect there will likely be increasing levels of regulation, disclosure-related and otherwise, with respect to ESG matters. For example, the SEC has published proposed rules that would require companies to provide significantly expanded climate-related disclosures in their periodic reporting. The new climate disclosure rules were the subject of multiple legal challenges, and the SEC voluntarily stayed the climate disclosure rules pending the completion of judicial review. Therefore, it is unknown whether the new rules will go into effect and if they do, whether there will be significant changes. If the new rules go into effect and are not substantially different than the rules adopted by the SEC, we may be required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Even if the SEC rules are not adopted, states or ex-U.S. jurisdictions in which we currently or may in the future operate may also have or adopt ESG or climate-related disclosure rules requiring similar or broader disclosure obligations. 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spacing w:after="0" w:line="396"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decline in the federal budget, changes in spending or budgetary priorities of the U.S. government, a prolonged U.S. government shutdown or delays in contract awards may significantly and adversely affect our future revenues, cash flow and financial results.</w:t>
      </w:r>
    </w:p>
    <w:p>
      <w:pPr>
        <w:spacing w:after="0" w:line="15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 recent years, U.S. government appropriations have been affected by larger U.S. government budgetary issues and related legislation. As a result, the Department of Defense funding levels have fluctuated and have been difficult to predict. Future spending levels are subject to a wide range of factors, including Congressional action. In addition, in the past, U.S. debt ceiling and budget deficit concerns have increased the possibility of additional credit-rating downgrades and economic slowdowns, or a recession in the U.S. Although U.S. lawmakers passed legislation to raise the federal debt ceiling on multiple occasions, ratings agencies have lowered or threatened to lower the long-term sovereign credit rating on the U.S. The impact of this or any further downgrades to the U.S. government’s sovereign credit rating or its perceived creditworthiness could adversely affect the U.S. and global financial markets and economic conditions.</w:t>
      </w:r>
    </w:p>
    <w:p>
      <w:pPr>
        <w:spacing w:after="0" w:line="203"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7"/>
          <w:szCs w:val="17"/>
          <w:color w:val="auto"/>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Unfavorable macroeconomic conditions or market volatility resulting from geopolitical developments or national or global economic conditions, including those affecting the financial services industry, could adversely affect our business, financial condition or results of operations.</w:t>
      </w:r>
    </w:p>
    <w:p>
      <w:pPr>
        <w:spacing w:after="0" w:line="17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Adverse market or macroeconomic conditions or market volatility resulting from geopolitical events, national or global economic developments, political unrest, high inflation, rising interest rates, new or increased tariffs and retaliatory tariffs, changes in international trade relationships and military conflicts, changes in or disruptions of U.S. governmental agencies, whether from a U.S. federal government shutdown or reduced resources, new laws and regulations or amendments to existing laws and regulations in the U.S. and foreign countries, or other factors, could materially and adversely affect our business operations.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Tariffs levied by the U.S. and other countries also may adversely affect financial markets and the global economy. For example, in early 2025, the United States imposed tariffs on imports on its trading partners, including Canada, Mexico, the EU and China.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While certain tariffs have subsequently been suspended, modified or temporarily reduced, and a ruling by the U.S. Supreme Court in February 2026 invalidated a significant portion of tariffs previously imposed by the U.S. government under emergency statutory authority, the Trump administration has indicated its intention to pursue alternative statutory mechanisms to reinstate or impose new tariffs. In addition, the Trump administration has threatened to continue to broadly impose tariffs, which could lead to corresponding punitive actions by the countries with which the U.S. trades. The extent, scope and duration of any tariffs, the uncertainty surrounding their implementation and timing, and the resulting impact on general economic conditions and on our business remain uncertain and will depend on a number of factors, including negotiations between the U.S. and other countries, the responses of such countries, any exemptions or exclusions that may be granted, and the availability and cost of alternative sources of supply for materials or other items that we or the third parties with whom we work may import from affected countries. We cannot predict the actions that may ultimately be taken with respect to trade relations between the U.S. and China or other countries, which products or services may be subject to such actions, or what retaliatory measures may be taken by affected countries. If new tariffs, export controls, legislation or regulations are implemented, if existing trade agreements are renegotiated, if retaliatory trade measures are imposed by the U.S. or other governments, or if our interactions with parties affected by such measures become more costly, restricted or unavailable, our business, liquidity, financial condition and results of operations could be materially and adversely affected.</w:t>
      </w:r>
    </w:p>
    <w:p>
      <w:pPr>
        <w:spacing w:after="0" w:line="20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7"/>
          <w:szCs w:val="17"/>
          <w:color w:val="auto"/>
        </w:rPr>
        <w:t>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There can be no assurance that further deterioration in credit and financial markets and confidence in economic conditions will not occur.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Although, to date, our business has not been materially impacted by these macroeconomic and geopolitical conditions, it is impossible to predict the extent to which our operations will be impacted in the short and long term, or the ways in which such instability could impact our business and results of operations. A severe or prolonged economic downturn or additional global financial crises could result in a variety of risks to our business, including weakened demand for any product candidates we develop or our ability to raise additional capital when needed on acceptable terms, if at all.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the implementation of the recently enacted BIOSECURE Act has the potential to severely restrict the ability of companies, including us, to work with certain Chinese biotechnology companies of concern without losing the ability to contract with, or otherwise receive funding from, the U.S. government. This, in turn, could materially and adversely affect our or our collaborators’ ability to manufacture or supply product candidates or advance our clinical development programs, which could materially and adversely affect our business and future prospects. In addition, any delay in or inability to complete our clinical studies could significantly compromise our ability to secure regulatory approval of bempedoic acid or the bempedoic acid / ezetimibe combination tablet for additional indications we may seek and preclude our ability to commercialize bempedoic acid or the bempedoic acid / ezetimibe combination tablet, thereby limiting or preventing our ability to generate revenue from its sales. Any of the foregoing could harm our business and we cannot anticipate all of the ways in which the current macroeconomic and geopolitical climate and financial market conditions could adversely impact our business.</w:t>
      </w:r>
    </w:p>
    <w:p>
      <w:pPr>
        <w:spacing w:after="0" w:line="200"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U.S. Congress, the Trump administration, or any new administration may make substantial changes to fiscal, tax, and other federal policies that may adversely affect our business.</w:t>
      </w:r>
    </w:p>
    <w:p>
      <w:pPr>
        <w:spacing w:after="0" w:line="1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 Risk Management and Strategy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under the oversight of the audit committee of our board of directors, have implemented and maintain a cybersecurity framework, informed by the Center of</w:t>
      </w:r>
    </w:p>
    <w:p>
      <w:pPr>
        <w:spacing w:after="0" w:line="1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7"/>
          <w:szCs w:val="17"/>
          <w:color w:val="auto"/>
        </w:rPr>
        <w:t>Internet Security, or CIS, cybersecurity framework. This includes policies, processes and technologies designed to minimize risks from cybersecurity threats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We maintain oversight of our third-party vendors with access to our information technology resources through the inclusion of contractual security requirements as appropriate.</w:t>
      </w:r>
    </w:p>
    <w:p>
      <w:pPr>
        <w:spacing w:after="0" w:line="20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Our cybersecurity approach is designed to minimize risks from cybersecurity threats identified by internal stakeholders, threat intelligence providers, vulnerability management programs, and security management programs. Our internal team manages and maintains remediation strategies for identified risks, and reports on them periodically to senior leadership. We also require our employees to participate in monthly cybersecurity awareness trainings, which include phishing awareness simulations, to raise employee awareness of cybersecurity risks.</w:t>
      </w:r>
    </w:p>
    <w:p>
      <w:pPr>
        <w:spacing w:after="0" w:line="119"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7"/>
          <w:szCs w:val="17"/>
          <w:color w:val="auto"/>
        </w:rPr>
        <w:t>As appropriate, we assess our internal controls, including controls around our information technology systems and their impact on our financial statements or systems, through either independent audits or internal assessments with the assistance of third party resources.</w:t>
      </w:r>
    </w:p>
    <w:p>
      <w:pPr>
        <w:spacing w:after="0" w:line="17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7"/>
          <w:szCs w:val="17"/>
          <w:color w:val="auto"/>
        </w:rPr>
        <w:t>To date, we have not identified any cybersecurity incidents or threats that have materially affected us or are reasonably likely to materially affect us, including our business strategy, results of operations, or financial condition; however, like other companies in our industry, we have, from time to time, experienced threats and cybersecurity incidents relating to our information technology systems and infrastructure. Our third party vendors may also experience threats and cybersecurity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incidents from time to time. For more information, please refer to Item 1A, “Risk Factors,” in this Annual Report on Form 10-K.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Related to Cybersecurity Risks</w:t>
      </w:r>
    </w:p>
    <w:p>
      <w:pPr>
        <w:spacing w:after="0" w:line="15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7"/>
          <w:szCs w:val="17"/>
          <w:color w:val="auto"/>
        </w:rPr>
        <w:t>Our cybersecurity program and related operations and processes are directed by our Executive Director of Information Technology, whom we refer to as the IT Director. Currently, the IT Director role is held by an individual who has over 17 years of cybersecurity, information technology, and systems engineering experience. The IT Director reports to our management – currently the Chief Business Officer.</w:t>
      </w:r>
    </w:p>
    <w:p>
      <w:pPr>
        <w:spacing w:after="0" w:line="11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7"/>
          <w:szCs w:val="17"/>
          <w:color w:val="auto"/>
        </w:rPr>
        <w:t>The IT Director meets with the Chief Financial Officer, the Chief Compliance Officer, and the General Counsel periodically to monitor and review the outcomes of our cybersecurity program and to discuss and decide matters related to cybersecurity treatment strategy (including mitigations). The IT Director and the Chief Financial Officer provide periodic reports to the audit committee on cybersecurity risk management, and, quarterly, the Chief Financial Officer updates the audit committee of any material changes in the Company's cybersecurity framework or cybersecurity activity. The audit committee is responsible for reviewing and overseeing our risk management process, including risks from cybersecurity threats, pursuant to the audit committee charter. Our board of directors, as a whole and through its committees, has responsibility for the oversight of risk management. In its risk oversight role, our board of directors has the responsibility to confirm that the risk management processes designed and implemented by management are appropriate and functioning as designed.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8"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7"/>
          <w:szCs w:val="17"/>
          <w:color w:val="auto"/>
        </w:rPr>
        <w:t>Our corporate headquarters are located in Ann Arbor, Michigan where we lease and occupy approximately 11,500 square feet of office space. We believe our current facilities will be sufficient to meet our needs until expiration.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DSE Litigation</w:t>
      </w:r>
    </w:p>
    <w:p>
      <w:pPr>
        <w:spacing w:after="0" w:line="20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On March 27, 2023, we filed a complaint in the United States District Court for the Southern District of New York seeking declaratory judgment against DSE regarding the Company’s right to receive a $300.0 million milestone payment upon inclusion of cardiovascular risk reduction in the EU label that correlates with a relative risk reduction rate of at least 20%, based on the results of the CLEAR Outcomes CVOT. On May 4, 2023, we filed an amended complaint against DSE in the Southern District of New York which seeks a judicial declaration, on an expedited basis, that DSE is contractually required to make a $300.0 million milestone payment to us upon applicable regulatory approval. On June 20, 2023, DSE filed a response to our amended complaint.</w:t>
      </w:r>
    </w:p>
    <w:p>
      <w:pPr>
        <w:spacing w:after="0" w:line="16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On January 2, 2024, we entered into a settlement agreement with DSE to amicably resolve and dismiss the commercial dispute that was pending in the Southern District of New York, or the Settlement Agreement. Under the Settlement Agreement, DSE agreed to pay us an aggregate of $125.0 million, including (1) a $100.0 million payment within 15 business days of the effective date of the Settlement Agreement and (2) a $25.0 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ASCVD. The legal action pending in the United States District Court for the Southern District of New York was subsequently dismissed.</w:t>
      </w:r>
    </w:p>
    <w:p>
      <w:pPr>
        <w:spacing w:after="0" w:line="178"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7"/>
          <w:szCs w:val="17"/>
          <w:color w:val="auto"/>
        </w:rPr>
        <w:t>Pursuant to the Settlement Agreement, also on January 2, 2024, we entered into a 3rd Amendment to the License and Collaboration Agreement dated January 2, 2019 with DSE, and a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Amendment to the License and Collaboration Agreement dated April 26, 2021 with DS. The DSE Amendment and the DS Amendment grant each of DSE and DS exclusive rights for clinical development, regulatory activities, manufacture and commercialization of a bempedoic acid/ezetimibe/statin triple combination pill in their existing respective territories of the European Economic Area, UK, Switzerland and Turkey, or the DSE Territory, and South Korea, Taiwan, Hong Kong, Thailand, Vietnam, Brazil, and Macao, or the DS Territory. Further, after a transition period, DSE and DS will assume sole responsibility for the manufacture of NILEMDO and NUSTENDI for, respectively, the DSE Territory and DS Territory. As of January 2, 2024, DSE has sole authority and control of regulatory communications with the EMA regarding the pending marketing authorization applications for NILEMDO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NUSTENDI.</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ANDA Litigation</w:t>
      </w:r>
    </w:p>
    <w:p>
      <w:pPr>
        <w:spacing w:after="0" w:line="20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7"/>
          <w:szCs w:val="17"/>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1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Under the Hatch-Waxman Act to the Federal Food, Drug, and Cosmetic Act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spacing w:after="0" w:line="1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its affiliate); Dr. Reddy’s Laboratories Inc. (along with its affiliate, collectively, “Dr. Reddy’s Laboratories”); Hetero USA Inc. (along with its affiliates, collectively, “Hetero USA”); Micro Labs USA Inc. (along with its affiliate, collectively, “Micro Labs”); MSN Pharmaceuticals Inc. (along with an affiliate); Renata Limited (“Renata”);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w:t>
      </w:r>
    </w:p>
    <w:p>
      <w:pPr>
        <w:spacing w:after="0" w:line="1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The Company subsequently reached settlement agreements with Micro Labs, Hetero USA, Accord Healthcare Inc., Dr. Reddy’s Laboratories, and Alkem Laboratories Ltd. in May 2025, June 2025, July 2025, October 2025, and February 2026, respectively. Each settlement agreement resolved the patent litigation brought by the Company against the particular ANDA Filer, each of which has agreed not to market a generic version of NEXLETOL and/or NEXLIZET, as applicable, in the United States prior to April 19, 2040, unless certain circumstances customarily included in these types of agreements occur. With the settlement with Dr. Reddy’s Laboratories in October 2025, there are no remaining challenges regarding the validity or infringement of U.S Patent No. 7,335,799 in the pending patent litigation with the remaining ANDA filers. Certain of the Company’s patents that remain subject to the pending patent litigation are scheduled to expire in March 2036, while others are scheduled to expire in June 2040.</w:t>
      </w:r>
    </w:p>
    <w:p>
      <w:pPr>
        <w:spacing w:after="0" w:line="17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pending patent litigation against the remaining ANDA Filers (Aurobindo Pharma Limited (along with an affiliate); MSN Pharmaceuticals Inc. (along with an affiliate); Renata (along with an affiliate); and Sandoz Inc.) is ongoing, and there can be no assurance whether such ongoing patent litigation will allow a generic version of NEXLETOL and/or NEXLIZET, as applicable, to be marketed in the U.S. prior to April 19, 2040. The trial is anticipated to begin no earlier than January 2027, but no trial date has been set.</w:t>
      </w:r>
    </w:p>
    <w:p>
      <w:pPr>
        <w:spacing w:after="0" w:line="17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In January 2026, Renata notified the Company that it had filed an ANDA with the FDA seeking approval of a generic version of NEXLIZET in the United States (the “2026 Renata ANDA”). The 2026 Renata ANDA is in addition to the ANDA that Renata had previously filed with respect to NEXLETOL, for which the pending patent litigation described above is ongoing. Under the Hatch-Waxman Act, the Company had 45 days from receipt of the 2026 Renata ANDA notice letter to commence patent infringement lawsuits against Renata in a federal district court to trigger a stay precluding the FDA’s approval of the 2026 Renata ANDA from being effective any earlier than 7.5 years from the date of approval of the NEXLIZET new drug application or entry of judgment holding the patents invalid, unenforceable, or not infringed, whichever occurs first. In March 2026, the Company filed a patent infringement lawsuit under the Hatch-Waxman Act in the United States District Court, District of New Jersey, against Renata. The Company’s complaint alleges that by filing the 2026 Renata ANDA, Renata has infringed NEXLIZET’s Orange Book patents included in its Paragraph IV certifications, and seeks an injunction preventing the FDA from granting final approval of the 2026 Renata ANDA before the expiration of the asserted patents, and a permanent injunction to prevent Renata from commercializing a generic version of NEXLIZET until the expiration of the asserted patents. No trial date has been set.</w:t>
      </w:r>
    </w:p>
    <w:p>
      <w:pPr>
        <w:spacing w:after="0" w:line="181" w:lineRule="exact"/>
        <w:rPr>
          <w:sz w:val="20"/>
          <w:szCs w:val="20"/>
          <w:color w:val="auto"/>
        </w:rPr>
      </w:pPr>
    </w:p>
    <w:p>
      <w:pPr>
        <w:ind w:right="140"/>
        <w:spacing w:after="0" w:line="211" w:lineRule="exact"/>
        <w:rPr>
          <w:sz w:val="20"/>
          <w:szCs w:val="20"/>
          <w:color w:val="auto"/>
        </w:rPr>
      </w:pPr>
      <w:r>
        <w:rPr>
          <w:rFonts w:ascii="Times New Roman" w:cs="Times New Roman" w:eastAsia="Times New Roman" w:hAnsi="Times New Roman"/>
          <w:sz w:val="17"/>
          <w:szCs w:val="17"/>
          <w:color w:val="auto"/>
        </w:rPr>
        <w:t>We are currently involved, as we are from time to time, in legal proceedings that arise in the ordinary course of our business. We believe that we have adequately accrued for these liabilities and that there is no other litigation pending that could materially harm our results of operations and financial condition. See "Commitments and Contingencies" under Note 5 to our financial statements included elsewhere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a further discussion of our current legal proceedings.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“ESPR”.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28, 2026, there were 5 stockholders of record, which excludes stockholders whose shares were held in nominee or street name by brokers.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2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following graph illustrates a comparison of the total cumulative stockholder return for our common stock since December 31, 2020, to two indices: the NASDAQ Composite Index and the NASDAQ Biotechnology Index. The graph set forth below compares the cumulative total stockholder return on an initial investment of $100 in our common stock from December 31, 2020 through December 31, 2025, with the comparative cumulative total return of such amount on</w:t>
      </w:r>
    </w:p>
    <w:p>
      <w:pPr>
        <w:spacing w:after="0" w:line="2" w:lineRule="exact"/>
        <w:rPr>
          <w:sz w:val="20"/>
          <w:szCs w:val="20"/>
          <w:color w:val="auto"/>
        </w:rPr>
      </w:pPr>
    </w:p>
    <w:p>
      <w:pPr>
        <w:ind w:firstLine="3"/>
        <w:spacing w:after="0" w:line="267" w:lineRule="auto"/>
        <w:tabs>
          <w:tab w:leader="none" w:pos="20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NASDAQ Composite Index, and (ii) the NASDAQ Biotechnology Index over the same period. Historical stockholder return is not necessarily indicative of the performance to be expected for any future periods.</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Comparison of 5 Year Cumulative Total Return*</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Among Esperion Therapeutics, Inc., the NASDAQ Composite Index and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138430</wp:posOffset>
            </wp:positionV>
            <wp:extent cx="5981065" cy="13620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81065" cy="136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w:t>
      </w:r>
    </w:p>
    <w:p>
      <w:pPr>
        <w:spacing w:after="0" w:line="28" w:lineRule="exact"/>
        <w:rPr>
          <w:sz w:val="20"/>
          <w:szCs w:val="20"/>
          <w:color w:val="auto"/>
        </w:rPr>
      </w:pPr>
    </w:p>
    <w:p>
      <w:pPr>
        <w:ind w:left="300" w:hanging="297"/>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invested on December 31, 2020 in stock or index.</w:t>
      </w:r>
    </w:p>
    <w:p>
      <w:pPr>
        <w:spacing w:after="0" w:line="20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performance graph shall not be deemed to be incorporated by reference by means of any general statement incorporating by reference this Annual Report on Form 10-K into any filing under the Securities Act of 1933, as amended, or the Securities Act, or the Exchange Act, except to the extent that we specifically incorporate such information by reference, and shall not otherwise be deemed filed under such 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2"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information required by Item 5 of Form 10-K regarding equity compensation plans is incorporated herein by reference to Item 11 of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Securities Sold Within Last 3 Years</w:t>
      </w:r>
    </w:p>
    <w:p>
      <w:pPr>
        <w:spacing w:after="0" w:line="20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On December 12, 2024, we entered into privately negotiated exchange and subscription agreements with certain holders of our 4.00% Convertible Senior Subordinated Notes due 2025, or the 2025 Notes, pursuant to which we agreed to issue $100.0 million aggregate principal amount of its 5.75% Convertible Senior Subordinated Notes due 2030, or the 2030 Notes, consisting of (a) approximately $57.5 million principal amount of 2030 Notes, along with approximately $153.4 million in cash, including accrued interest, issued in exchange for approximately $210.1 million principal amount of 2025 Notes, or the Exchange Transaction, and</w:t>
      </w:r>
    </w:p>
    <w:p>
      <w:pPr>
        <w:spacing w:after="0" w:line="2" w:lineRule="exact"/>
        <w:rPr>
          <w:sz w:val="20"/>
          <w:szCs w:val="20"/>
          <w:color w:val="auto"/>
        </w:rPr>
      </w:pPr>
    </w:p>
    <w:p>
      <w:pPr>
        <w:ind w:right="480" w:firstLine="3"/>
        <w:spacing w:after="0" w:line="250" w:lineRule="auto"/>
        <w:tabs>
          <w:tab w:leader="none" w:pos="24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$42.5 million principal amount of 2030 Notes for cash, or the Subscription Transactions, and together with the Exchange Transaction, the Transaction, in each case, pursuant to exemptions from registration under the Securities Act and the rules and regulations thereunder.</w:t>
      </w:r>
    </w:p>
    <w:p>
      <w:pPr>
        <w:spacing w:after="0" w:line="20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initial conversion rate for the 2030 Notes will be 326.7974 shares of our common stock per $1,000 principal amount of 2030 Notes, which is equivalent to an initial conversion price of approximately $3.06 per share of our common stock, subject to adjustment upon the occurrence of certain specified events, but in no event will the conversion rate per $1,000 principal amount of notes exceed 392.1568 shares of our common stock, subject to adjustment.</w:t>
      </w:r>
    </w:p>
    <w:p>
      <w:pPr>
        <w:spacing w:after="0" w:line="19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7"/>
          <w:szCs w:val="17"/>
          <w:color w:val="auto"/>
        </w:rPr>
        <w:t>Following the closing of the Exchange Transaction, approximately $54.9 million in aggregate principal amount of 2025 Notes remained outstanding with terms unchanged. The Transactions closed on December 17, 2024, and together with the Credit Agreement, signed on December 13, 2024, resulted in approximately $26.5 million of net cash and cash equivalents to the balance sheets, after excluding fees and expenses payable by us in connection with both the Exchange Transaction and Credit Agreement. In November 2025, the Company repaid the 2025 notes in full for $54.9 million. Refer to Note 12 in our audited financial statements appearing elsewhere in this Annual Report on Form 10-K for further information.</w:t>
      </w:r>
    </w:p>
    <w:p>
      <w:pPr>
        <w:spacing w:after="0" w:line="19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2030 Notes were offered in a private placement in reliance on Section 4(a)(2) of the Securities Act to the initial purchasers for initial resale to persons reasonably believed to be qualified institutional buyers or accredited investors within the meaning of Rule 501 of Regulation D. The issuance of common stock upon conversion, if any, is expected to be exempt from registration pursuant to Section 3(a)(9) of the Securities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0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7"/>
          <w:szCs w:val="17"/>
          <w:color w:val="auto"/>
        </w:rPr>
        <w:t>The Company has not made any repurchases of shares or other units of any class of the Company’s equity securities during the fourth quarter of the fiscal year covered by this Annual Report on Form 10-K.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financial statements and related notes appearing elsewhere in this Annual Report on Form 10-K. For a comparison of our results of operations for the fiscal years ended December 31, 2024 and December 31, 2023, see "Part II, Item 7. Management's Discussion and Analysis of Financial Condition and Results of Operations" of our Annual Report on Form 10-K for the fiscal year ended December 31, 2024, filed with the SEC on March 7, 2025.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Overview</w:t>
      </w:r>
    </w:p>
    <w:p>
      <w:pPr>
        <w:spacing w:after="0" w:line="21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We are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or CVD, and are struggling with elevated low-density lipoprotein cholesterol, or LDL-C. Through commercial execution, international partnerships and collaborations, and advancement of our pre-clinical pipeline, we continue to evolve into a leading global biopharmaceutical company.</w:t>
      </w:r>
    </w:p>
    <w:p>
      <w:pPr>
        <w:spacing w:after="0" w:line="19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7"/>
          <w:szCs w:val="17"/>
          <w:color w:val="auto"/>
        </w:rPr>
        <w:t>Our lead products NEXLETOL® (bempedoic acid) tablets and NEXLIZET® (bempedoic acid and ezetimibe) tablets are oral, once-daily, non-statin medicines indicated to reduce the risk of myocardial infarction and coronary revascularization in adults who are unable or unwilling to take recommended statin therapy (including those not taking a statin) with established CVD, or at high risk for a CVD event but without established CVD, and to reduce LDL-C in adults with primary hyperlipidemia. Our products were approved by the FDA, the European Commission, or EC (which, with respect to the UK, has been converted to a UK marketing authorization), and Swiss Agency for Therapeutic Products, or Swissmedic in 2020. The FDA approved expanded indications for NEXLETOL and NEXLIZET tablets in March 2024. The EC approved expanded indications for NILEMDO® (bempedoic acid) tablets and NUSTENDI® (bempedoic acid and ezetimibe) tablets in May 2024. Otsuka Pharmaceutical Co., Ltd., or Otsuka, our Japanese collaborator, received approval from the Japanese Ministry of Health, Labour and Welfare to market NEXLETOL as a treatment for hypercholesterolemia and familial hypercholesterolemia in September 2025, with National Health Insurance, or NHI, pricing received in the fourth quarter of 2025. We filed supplemental NDAs for product approvals in Canada in November 2024, with NEXLETOL approval in the fourth quarter of 2025 and NEXLIZET approval expected in first half of 2026. Our collaboration partners filed in Israel in March 2025, with expected approval in the first half of 2026, and in Australia in July 2025, with expected approval in the fourth quarter of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2, 2026, we entered into an Agreement and Plan of Merger, or the Merger Agreement, with Corstasis Therapeutics Inc., a Delaware corporation, or Corstasis, and Cirrus Transaction Subsidiary, Inc., a Delaware corporation and wholly-owned subsidiary of Esperion, or the Merger Sub. Pursuant to the Merger Agreement, and upon the terms and subject to the conditions thereof, Merger Sub will merge with and into Corstasis, or the Merger, with Corstasis surviving the Merger as a wholly-owned subsidiary of Esperion. The aggregate up-front consideration for the transactions contemplated by the Merger Agreement will be an amount in cash equal to $75.0 million, subject to customary adjustments and a post-closing purchase price adjustment, or the Upfront Consideration. In addition to the Upfront Consideration, the equityholders of Corstasis will be entitled to receive: (i) milestone payments up to an aggregate amount equal to $180.0 million in the event certain regulatory approval or commercial sales milestones are achieved and (ii) royalty and licensing-revenue-derived payments in connection with the Company’s (or its sublicensees’) future sales of certain products (collectively, the “Contingent Consideration”). The transaction is expected to close in the second quarter of 2026.</w:t>
      </w:r>
    </w:p>
    <w:p>
      <w:pPr>
        <w:spacing w:after="0" w:line="2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 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revenue interest and royalty purchase agreements. We have incurred losses in each year since our inception.</w:t>
      </w:r>
    </w:p>
    <w:p>
      <w:pPr>
        <w:spacing w:after="0" w:line="177"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We have never been profitable and our net losses were $22.7 million, $51.7 million and 209.2 million for the years ended December 31, 2025, 2024, and 2023, respectively. Our net loss for the year ended December 31, 2025 was primarily due to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interest expense and costs incurred in connection with research and development programs and selling, general and administrative costs associated with our operations, offset partially by the milestone payment from Otsuka and other revenue from our net product sales and collaboration agreements. Our net loss for the year ended December 31, 2024 was primarily due to the loss on extinguishment on the Oberland RIPA and convertible notes Exchange Transaction, interest expense and costs incurred in connection with research and development programs and selling, general and administrative costs associated with our operations, offset partially by the settlement agreement, or Settlement Agreement, with Daiichi Sankyo Europe GmbH, or DSE. and other revenue from our net product sales and collaboration agreements. Substantially all of our net losses for the years ended December 31, 2023 resulted from costs incurred in connection with research and development programs and selling, general and administrative costs associated with our operations. We expect to incur operating losses for the immediate future in connection with our ongoing activities, including, among others:</w:t>
      </w:r>
    </w:p>
    <w:p>
      <w:pPr>
        <w:spacing w:after="0" w:line="179" w:lineRule="exact"/>
        <w:rPr>
          <w:sz w:val="20"/>
          <w:szCs w:val="20"/>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commercializing NEXLETOL and NEXLIZET in the U.S;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pursuing other research and development activities.</w:t>
      </w:r>
    </w:p>
    <w:p>
      <w:pPr>
        <w:spacing w:after="0" w:line="21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Overview</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NEXLETOL is a first-in-class ATP Citrate Lyase, or ACLY, inhibitor that lowers LDL-C and cardiovascular risk by reducing cholesterol biosynthesis and up-regulating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 unable to take statins and who had, or were at high risk for, CVD demonstrated on average a 20% placebo corrected LDL-C reduction, and a resulting 13% lower risk of major cardiovascular events versus placebo. NEXLETOL was approved by the FDA in February 2020, with the label expanded to include an indication for cardiovascular risk reduction March 2024, and received a subsequent update to the cardiovascular risk reduction indication in November 2025 to encompass all components of the primary composite endpoint from CLEAR Outcomes.</w:t>
      </w:r>
    </w:p>
    <w:p>
      <w:pPr>
        <w:spacing w:after="0" w:line="17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NEXLIZET contains bempedoic acid and ezetimibe and lowers elevated LDL-C through complementary mechanisms of action by inhibiting cholesterol synthesis in the liver and cholesterol absorption in the intestine. Phase 3 data demonstrated NEXLIZET lowered LDL-C by a mean of 38% compared to placebo when added on to maximally tolerated statins. NEXLIZET was approved by the FDA in February 2020, with the label expanded to include an indication for cardiovascular risk reduction in March 2024, and received a subsequent update to the cardiovascular risk reduction indication in November 2025 to encompass all components of the primary composite endpoint from CLEAR Outcomes.</w:t>
      </w:r>
    </w:p>
    <w:p>
      <w:pPr>
        <w:spacing w:after="0" w:line="17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NILEMDO is a first-in-class ACLY inhibitor that lowers LDL-C and cardiovascular risk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ASCVD.</w:t>
      </w:r>
    </w:p>
    <w:p>
      <w:pPr>
        <w:spacing w:after="0" w:line="1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NUSTENDI contains bempedoic acid and ezetimibe and lowers elevated LDL-C through complementary mechanisms of action by inhibiting cholesterol synthesis in the liver and cholesterol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the EC approved an expanded indication for NUSTENDI to reduce cardiovascular risk in patients with or at high risk for ASCVD.</w:t>
      </w:r>
    </w:p>
    <w:p>
      <w:pPr>
        <w:spacing w:after="0" w:line="21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2025, we incurred $15.3 million related to ongoing clinical studies, including our pediatric program. During the year ended December 31, 2024, we incurred $6.6 million related to ongoing clinical trials. During the year ended December 31, 2023, we incurred $46.2 million in direct expenses related to our CLEAR Outcomes CVOT and other ongoing clinical studies.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24"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Product sales, net is related to our sales of NEXLETOL and NEXLIZET. NEXLETOL and NEXLIZET were commercially available in the U.S. on March 30, 2020 and June 4, 2020,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Collaboration revenue is primarily related to our collaboration agreements with Daiichi Sankyo and Otsuka. Collaboration revenue in the year ended December 31, 2025 was primarily related to milestone payments from Otsuka related to NEXLETOL approval in the Otsuka Territory, the first NHI Price Listing for NEXLETOL in the Otsuka Territory, and the achievement of the primary major adverse cardiovascular events, or MACE, endpoint in the CLEAR Outcomes study and inclusion of the CV risk reduction indication in the U.S. label, as well as an upfront milestone payment from HLS Therapeutics Inc., or HLS, sales of bulk tablets under supply agreements and royalty revenue received from collaboration partners. Collaboration revenue in the year ended December 31, 2024 was primarily related to the Settlement Agreement with DSE, a milestone from Otsuka upon first Japanese New Drug Application, or JNDA, submission in the Otsuka Territory, sales of bulk tablets under supply agreements and royalty revenue received from collaboration partners. Collaboration revenue in the years ended December 31, 2023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 Refer to Note 3 in our audited financial statements appearing elsewhere in this Annual Report on Form 10-K for further information.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goods sold is related to our net product sales of NEXLETOL and NEXLIZET and our supply agreements with collaboration partners.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4"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Our research and development expenses consist primarily of costs incurred in connection with the development of bempedoic acid and the bempedoic acid / ezetimibe combination tablet and any other product candidate we may choose to pursue, which include:</w:t>
      </w:r>
    </w:p>
    <w:p>
      <w:pPr>
        <w:spacing w:after="0" w:line="151" w:lineRule="exact"/>
        <w:rPr>
          <w:sz w:val="20"/>
          <w:szCs w:val="20"/>
          <w:color w:val="auto"/>
        </w:rPr>
      </w:pPr>
    </w:p>
    <w:p>
      <w:pPr>
        <w:ind w:left="620" w:right="200" w:hanging="307"/>
        <w:spacing w:after="0" w:line="288"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consultants, contract research organizations, or CROs, and investigative sites that conduct our preclinical and clinical studies;</w:t>
      </w:r>
    </w:p>
    <w:p>
      <w:pPr>
        <w:spacing w:after="0" w:line="151"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including salaries, benefits, stock-based compensation and travel expenses;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expenses for rent and maintenance of facilities, insurance and other supplies;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We expense research and development costs as incurred. To date, substantially all of our research and development work has been related to bempedoic acid and the bempedoic acid / ezetimibe combination tablet and our early stage pipeline assets.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6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We will continue to incur research and development expenses as they relate to other development programs or additional indications we choose to pursue such as the development of our next generation ACLY inhibitors. We expect research and development expenses to remain consistent in 2026 as we continue our phase III pediatric trial and continue progressing our preclinical pipeline. We cannot determine with certainty the duration and completion costs associated with the ongoing or future clinical studies of bempedoic acid and the bempedoic acid / ezetimibe combination tablet or any other product candidate we may choose to pursue.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Europe, Japan, and other currently approved countries.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costs of programs necessary for the general conduct of our business, including costs associated with the commercialization of NEXLETOL and NEXLIZET, selling expenses, facility-related costs, communication expenses and professional fees for legal, patent prosecution, protection and review, consulting and accounting services.</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We expect our selling, general and administrative expenses will be consistent in 2026 as it was in 2025 after the additional global regulatory approvals for new product indications in 2024 and the associated expanded commercialization initiatives for NEXLETOL and NEXLIZET and increases in our associated headcount to expand our sales team.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Interest expense for the year ended December 31, 2025 was related to our Royalty Purchase Agreement with OCM IP Healthcare Portfolio LP, or OMERS, entered into on June 27, 2024, our term loan, or Loan, entered into on December, 13, 2024, and our convertible notes. Interest expense for the year ended December 31, 2024 was related to our Royalty Purchase Agreement with OMERS, our revenue interest purchase agreement, or RIPA, with Eiger III SA LLC, or Oberland, our Loan, and our convertible notes. Interest expense for the year ended December 31, 2023 was related to our RIPA and our convertible notes.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extinguishment of debt and exchange transaction</w:t>
      </w:r>
    </w:p>
    <w:p>
      <w:pPr>
        <w:spacing w:after="0" w:line="2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Loss on extinguishment of debt and exchange transaction is related to the loss recognized from the termination of our RIPA with Oberland and an exchange transaction of our convertible notes for the year ended December 31, 2024. Refer to Note 10 and 12 in our audited financial statements appearing elsewhere in this Annual Report on Form 10-K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50"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Other income, net, for the years ended December 31, 2025, December 31, 2024 and December 31, 2023 primarily relates to interest income and the accretion or amortization of premiums and discounts earned on our cash, cash equivalents and investment securities and also includes other income (expense) related to the sale of leased vehicles.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24"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Provision for income taxes for the year ended December 31, 2025, consisted of state current tax expense. There was no provision for income taxes for the years ended December 31, 2024 and 2023, as we had incurred federal net operating losses since inception, which were available to offset taxable income in the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net product sales and royalty purchase agreement.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77"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Our significant accounting policies are described in more detail in Note 2 to our audited financial statements appearing elsewhere in this Annual Report on Form 10-K. We believe the following accounting policies to be most critical to understanding our results and financial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We sell NEXLETOL and NEXLIZET to wholesalers in the U.S. and, in accordance with ASC 606, recognize revenue at the point in time when the customer is deemed to have obtained control of the product, which generally occurs upon receipt by the customer. Product sales are recorded at the net selling price, which includes variable considerations for rebates, chargebacks, co-pay assistance programs, distribution related fees, product returns, and other sales-related discounts and fees. Calculating these net product sales involves judgments and estimates. Our estimates give consideration for a range of possible outcomes which are probability-weighted for relevant factors such as contracts with customers, healthcare providers, payors and government agencies, statutorily-defined discounts applicable to government-funded programs, forecasted payor mix, customer buying and payment patterns, and other relevant factors. The reserves reflect our best estimates of the amount of consideration to which we are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stage of our commercial operations we have provided constraint of our variable consideration due to its potential consumption trends. Actual amounts of consideration ultimately received may differ from our estimates. Each period, we review our estimates of rebates, co-pay assistance programs, distribution fees and other applicable provisions. If actual results vary from estimates, we adjust these estimates, which would affect net product revenue and earnings in the period such variances become known. A 3% change to our year ended December 31, 2025 net product sales would have an impact of approximately $4.8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Related to the Sale of Future Royalties</w:t>
      </w:r>
    </w:p>
    <w:p>
      <w:pPr>
        <w:spacing w:after="0" w:line="23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 xml:space="preserve">In June 2024, we entered into a royalty sale agreement with OMERS for the future royalties from our collaboration agreement with DSE for up to 1.7x the purchase price, or $518 million. We evaluated the arrangement and determined the agreement should be treated as a debt instrument according to ASC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royalty sale liability related to the agreement is presented net of deferred issuance costs on the balance sheets. We impute interest expense associated with this liability using the effective interest rate method which is presented as interest expense on the statements of operations. The effective interest rate is calculated based on the rate that would enable the liability to be repaid in full over the anticipated life of the arrangement. The interest rate on the liability may vary during the term of the agreement depending on a number of factors, including the level and timing of forecasted royalty sales. This estimate is complex and highly judgmental due to the estimation uncertainty in determining the effective interest rate. We evaluate the interest rate quarterly based on our expectations of forecasted royalty sales from our license partner, historical experience, third-party forecasts and current market conditions utilizing the prospective method. The effective interest rate model includes royalty sales forecasts which are affected by expectations about future market conditions. A significant increase or decrease in royalties will materially impact the royalty sale liability, interest expense and the time period for repayment. A 3% increase in quarterly forecasted revenues would increase interest expense by approximately $0.1 million, increase the royalty sale liability by $0.1 million, and would have no change on the estimated time period for repayment. Issuance costs in connection with the royalty sale agreement are amortized to interest expense over the estimated term of the agreement.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Adopted</w:t>
      </w:r>
    </w:p>
    <w:p>
      <w:pPr>
        <w:spacing w:after="0" w:line="224"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7"/>
          <w:szCs w:val="17"/>
          <w:color w:val="auto"/>
        </w:rPr>
        <w:t>For information on new accounting standards and the impact, on our financial position or results of operations, see Note 2 to our audited financial statements found elsewhere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2025 and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years ended December 31, 2025 and 2024:</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sales, net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159,569</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115,725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43,844</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Collaboration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26,977</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60,623</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1,614</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2,713</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5,871</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(25,353)</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 and exchange transaction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54,918</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(4,532)</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income taxes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30,904</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taxes on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(22,682)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29,063</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24"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Product sales, net for the year ended December 31, 2025 was $159.6 million compared to $115.7 million for the year ended December 31, 2024, an increase of approximately $43.9 million. The increase is primarily due to prescription growth volumes of NEXLETOL and NEXLIZET.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22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Collaboration revenue recognized from our collaboration agreements for the year ended December 31, 2025 was $243.6 million compared to $216.6 million for the year ended December 31, 2024, an increase of $27.0 million. The increase is primarily due to revenue recognized from the one-time milestone payment from Otsuka related to NEXLETOL approval and NHI pricing, increased product sales to our collaboration partners from our supply agreements and royalty sales growth within our partner territories, offset partially by revenue recognized from our Settlement Agreement with DSE in the first half of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24"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Cost of goods sold for the year ended December 31, 2025, was $129.2 million compared to $68.6 million for the year ended December 31, 2024, an increase of $60.6 million. The increase is primarily related to increased product sales to our collaboration partners under our supply agreements and increased net product sales of NEXLETOL and NEXLIZET.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4"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for the year ended December 31, 2025, were $47.9 million compared to $46.2 million for the year ended December 31, 2024, an increase of approximately $1.7 million. The increase in research and development expenses was primarily attributable to increase in costs for ongoing pediatric clinical studies.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2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for the year ended December 31, 2025, were $165.8 million compared to $163.1 million for the year ended December 31, 2024, an increase of $2.7 million. The increase in selling, general and administrative expenses was primarily attributable to increased legal costs associated with the ANDA litigation.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for the year ended December 31, 2025, was $84.6 million, compared to $59.3 million for the year ended December 31, 2024, an increase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approximately $25.3 million. Interest expense for the year ended December 31, 2025 was related to our royalty sale liability, entered into on June 27, 2024,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$57.2 million, our convertible notes, of $8.5 million, and our Credit Agreement, entered into on December 13, 2024, of $18.9 million. Interest expense for the 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December 31, 2024 was related to our revenue interest liability, or RIPA, which we repurchased on June 27, 2024, of $21.6 million, our royalty 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liability, of $24.7 million, our convertible notes, of $12.2 million, and our Credit Agreement, of $0.8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extinguishment of debt and exchange transaction</w:t>
      </w:r>
    </w:p>
    <w:p>
      <w:pPr>
        <w:spacing w:after="0" w:line="22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Loss on extinguishment of debt and exchange transaction for year ended December 31, 2024, was $54.9 million, with no such loss recognized for the year ended December 31, 2025. The loss on extinguishment of debt was due to the termination of our RIPA with Oberland of $53.2 million and Exchange Transaction of our convertible notes of $1.7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24"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Other income, net for the year ended December 31, 2025, was $3.5 million compared to $8.0 million for the year ended December 31, 2024, a decrease of $4.5 million. This decrease was primarily due to lower interest income due to lower cash and cash equivalents.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Provision for income taxes for the year ended December 31, 2025, was $1.8 million, which consisted of state current tax expense. There was no provision for income taxes for the year ended December 31, 2024, as we had incurred federal net operating losses since inception, which were available to offset taxable income in the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7"/>
          <w:szCs w:val="17"/>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our revenue interest and royalty purchase agreements. Pursuant to the license and collaboration agreements with Daiichi Sankyo and Otsuka, we are eligible for substantial additional sales and regulatory milestone payments and royalties.</w:t>
      </w:r>
    </w:p>
    <w:p>
      <w:pPr>
        <w:spacing w:after="0" w:line="19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On October 7, 2025, we entered into an underwriting agreement, or the 2025 Underwriting Agreement, with Piper Sandler &amp; Co. and Cantor Fitzgerald &amp; Co., as representative of the several underwriters, or the 2025 Underwriters, related to an underwritten public offering, or the 2025 Offering, of 30,000,000 shares our Common Stock, at a public offering price of $2.50 per share. In addition, under the terms of the 2025 Underwriting Agreement, the 2025 Underwriters were granted a 30-day option to purchase up to an additional 4,500,000 shares of Common Stock, at the public offering price. On October 10, 2025, the 2025 Underwriters gave notice to the Company of their partial election exercise their option to purchase 1,065,000 additional shares, which closed on October 14, 2025. Giving effect to the partial exercise of underwriters' option, the Company issued an aggregate of 31,065,000 shares of Common Stock in the 2025 Offering, with net proceeds to the Company of approximately $72.6 million, after deducting the underwriting discount and offering expenses of approximately $5.1 million.</w:t>
      </w:r>
    </w:p>
    <w:p>
      <w:pPr>
        <w:spacing w:after="0" w:line="20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existing Form S-3 and the prospectus supplement filed on February 21, 2023. During the year ended December 31, 2025, we issued 7,661,505 shares of common stock resulting in net proceeds of approximately $15.4 million after deducting approximately $0.4 million of commissions and other expenses, pursuant to the 2023 ATM Program. During the year ended December 31, 2024, we issued 378,902 shares of common stock resulting in net proceeds of approximately $0.5 million after deducting approximately $0.2 million of commissions and expense reimbursement payable to sales agent and other expenses, pursuant to the 2023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On January 2, 2024, we entered into the Settlement Agreement with DSE to amicably resolve and dismiss the commercial dispute then pending in the Southern District of New York. Under the Settlement Agreement, DSE agreed to pay us an aggregate of $125.0 million, including (1) a $100.0 million payment within 15 business days of the effective date of the Settlement Agreement, which we received in January 2024, and (2) a $25.0 million payment in the calendar quarter immediately following the calendar quarter in which the European Medicines Agency, or EMA renders a decision on the application that was filed with the EMA for a Type II(a) variation for our oral non-statin products marketed as NILEMDO® (bempedoic acid) tablets and NUSTENDI® (bempedoic acid and ezetimibe) tablets in Europe, which we received in June 2024. The legal action pending in the United States District Court for the Southern District of New York has now been dismissed.</w:t>
      </w:r>
    </w:p>
    <w:p>
      <w:pPr>
        <w:spacing w:after="0" w:line="20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January 18, 2024, we entered into an underwriting agreement with Jefferies, as representative of the Underwriters, related to an underwritten public offering, or the January 2024 Offering, of 56,700,000 shares of our common stock, at a purchase price to the public of $1.50 per share. The Underwriters were also granted a 30-day option to purchase up to an additional 8,505,000 shares of our common stock, at the public offering price. On January 19, 2024, Jefferies gave us notice of its election to exercise the option to purchase additional shares, in full. Giving effect to the exercise of Underwriters' option, the January 2024 Offering closed on January 23, 2024, with proceeds to the Company of approximately $90.7 million, after deducting the underwriting discount and estimated offering expenses of $7.1 million.</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As part of our December 2024 Credit Agreement and Exchange Transaction for our 2025 and 2030 Notes, as described in more detail below, the Company added approximately $26.5 million of net cash and cash equivalents to the balance sheets after payments of original issue discount, issuance costs and accrued interest on the partial extinguishment of the 2025 Notes.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anticipate that we will incur operating losses for the immediate future as we continue to incur substantial expenses related to the ongoing commercialization of</w:t>
      </w:r>
    </w:p>
    <w:p>
      <w:pPr>
        <w:spacing w:after="0" w:line="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NEXLETOL and NEXLIZET and expenses associated with our research and development activities. We anticipate that our current cash and cash equivalents, expected future net product sales of NEXLETOL and NEXLIZET, and expected future revenue under our collaboration agreements is sufficient to fund continuing operations for the near term future. To finance the acquisition under the Merger Agreement with Corstasis, we plan to leverage our existing credit facilities and monetize our Japanese royalties.</w:t>
      </w:r>
    </w:p>
    <w:p>
      <w:pPr>
        <w:spacing w:after="0" w:line="19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As of December 31, 2025, our primary sources of liquidity were our cash and cash equivalents which totaled $167.9 million. We invest our cash equivalents and investments in highly liquid, interest-bearing investment-grade securities and government securities to preserve principal.</w:t>
      </w:r>
    </w:p>
    <w:p>
      <w:pPr>
        <w:sectPr>
          <w:pgSz w:w="11900" w:h="16838" w:orient="portrait"/>
          <w:cols w:equalWidth="0" w:num="1">
            <w:col w:w="11240"/>
          </w:cols>
          <w:pgMar w:left="320" w:top="123" w:right="33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primary sources and uses of cash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551180</wp:posOffset>
            </wp:positionV>
            <wp:extent cx="7121525" cy="147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cash used in operating activities</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7121525" cy="139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cash provided by financing activities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27940</wp:posOffset>
            </wp:positionV>
            <wp:extent cx="18872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spacing w:after="0" w:line="26" w:lineRule="exact"/>
        <w:rPr>
          <w:sz w:val="20"/>
          <w:szCs w:val="20"/>
          <w:color w:val="auto"/>
        </w:rPr>
      </w:pPr>
    </w:p>
    <w:p>
      <w:pPr>
        <w:ind w:left="560"/>
        <w:spacing w:after="0"/>
        <w:tabs>
          <w:tab w:leader="none" w:pos="20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27940</wp:posOffset>
            </wp:positionV>
            <wp:extent cx="18872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4" w:lineRule="exact"/>
        <w:rPr>
          <w:sz w:val="20"/>
          <w:szCs w:val="20"/>
          <w:color w:val="auto"/>
        </w:rPr>
      </w:pPr>
    </w:p>
    <w:p>
      <w:pPr>
        <w:spacing w:after="0"/>
        <w:tabs>
          <w:tab w:leader="none" w:pos="780" w:val="left"/>
          <w:tab w:leader="none" w:pos="1520" w:val="left"/>
          <w:tab w:leader="none" w:pos="23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(13,093)</w:t>
        <w:tab/>
        <w:t>$</w:t>
      </w:r>
      <w:r>
        <w:rPr>
          <w:sz w:val="20"/>
          <w:szCs w:val="20"/>
          <w:color w:val="auto"/>
        </w:rPr>
        <w:tab/>
      </w:r>
      <w:r>
        <w:rPr>
          <w:rFonts w:ascii="Times New Roman" w:cs="Times New Roman" w:eastAsia="Times New Roman" w:hAnsi="Times New Roman"/>
          <w:sz w:val="16"/>
          <w:szCs w:val="16"/>
          <w:color w:val="auto"/>
        </w:rPr>
        <w:t>(23,654)</w:t>
      </w:r>
    </w:p>
    <w:p>
      <w:pPr>
        <w:spacing w:after="0" w:line="2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(317)</w:t>
      </w:r>
    </w:p>
    <w:p>
      <w:pPr>
        <w:spacing w:after="0" w:line="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36,18486,484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18872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spacing w:after="0" w:line="13" w:lineRule="exact"/>
        <w:rPr>
          <w:sz w:val="20"/>
          <w:szCs w:val="20"/>
          <w:color w:val="auto"/>
        </w:rPr>
      </w:pPr>
    </w:p>
    <w:p>
      <w:pPr>
        <w:spacing w:after="0"/>
        <w:tabs>
          <w:tab w:leader="none" w:pos="860" w:val="left"/>
          <w:tab w:leader="none" w:pos="1520" w:val="left"/>
          <w:tab w:leader="none" w:pos="23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23,091</w:t>
        <w:tab/>
        <w:t>$</w:t>
      </w:r>
      <w:r>
        <w:rPr>
          <w:sz w:val="20"/>
          <w:szCs w:val="20"/>
          <w:color w:val="auto"/>
        </w:rPr>
        <w:tab/>
      </w:r>
      <w:r>
        <w:rPr>
          <w:rFonts w:ascii="Times New Roman" w:cs="Times New Roman" w:eastAsia="Times New Roman" w:hAnsi="Times New Roman"/>
          <w:sz w:val="17"/>
          <w:szCs w:val="17"/>
          <w:color w:val="auto"/>
        </w:rPr>
        <w:t>62,513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17780</wp:posOffset>
            </wp:positionV>
            <wp:extent cx="1887220"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87220" cy="33020"/>
                    </a:xfrm>
                    <a:prstGeom prst="rect">
                      <a:avLst/>
                    </a:prstGeom>
                    <a:noFill/>
                  </pic:spPr>
                </pic:pic>
              </a:graphicData>
            </a:graphic>
          </wp:anchor>
        </w:drawing>
      </w:r>
    </w:p>
    <w:p>
      <w:pPr>
        <w:spacing w:after="0" w:line="542" w:lineRule="exact"/>
        <w:rPr>
          <w:sz w:val="20"/>
          <w:szCs w:val="20"/>
          <w:color w:val="auto"/>
        </w:rPr>
      </w:pPr>
    </w:p>
    <w:p>
      <w:pPr>
        <w:sectPr>
          <w:pgSz w:w="11900" w:h="16838" w:orient="portrait"/>
          <w:cols w:equalWidth="0" w:num="2">
            <w:col w:w="7560" w:space="720"/>
            <w:col w:w="2960"/>
          </w:cols>
          <w:pgMar w:left="320" w:top="123" w:right="339" w:bottom="1440" w:gutter="0" w:footer="0" w:header="0"/>
          <w:type w:val="continuous"/>
        </w:sectPr>
      </w:pPr>
    </w:p>
    <w:p>
      <w:pPr>
        <w:spacing w:after="0" w:line="24" w:lineRule="exact"/>
        <w:rPr>
          <w:sz w:val="20"/>
          <w:szCs w:val="20"/>
          <w:color w:val="auto"/>
        </w:rPr>
      </w:pPr>
    </w:p>
    <w:p>
      <w:pPr>
        <w:jc w:val="both"/>
        <w:ind w:right="520"/>
        <w:spacing w:after="0" w:line="270" w:lineRule="auto"/>
        <w:rPr>
          <w:sz w:val="20"/>
          <w:szCs w:val="20"/>
          <w:color w:val="auto"/>
        </w:rPr>
      </w:pPr>
      <w:r>
        <w:rPr>
          <w:rFonts w:ascii="Times New Roman" w:cs="Times New Roman" w:eastAsia="Times New Roman" w:hAnsi="Times New Roman"/>
          <w:sz w:val="17"/>
          <w:szCs w:val="17"/>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 and our early stage pipeline assets.</w:t>
      </w:r>
    </w:p>
    <w:p>
      <w:pPr>
        <w:spacing w:after="0" w:line="16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7"/>
          <w:szCs w:val="17"/>
          <w:color w:val="auto"/>
        </w:rPr>
        <w:t>Net cash used in operating activities totaled $13.1 million for the year ended December 31, 2025 and $23.7 million for the year ended December 31, 2024. Net cash used in operating activities for the year ended December 31, 2025 consisted of net product sales of NEXLETOL and NEXLIZET, the milestone payment from Otsuka, and other cash received from our collaboration agreements, fully offset by cash used to fund the commercialization activities of NEXLETOL and NEXLIZET and the research and development costs related to bempedoic acid and the bempedoic acid / ezetimibe combination tablet, adjusted for non-cash expenses such as royalty revenue paid or to be paid to OMERS, stock-based compensation expense, interest expense, the amortization of issuance costs on our convertible notes, depreciation and amortization and changes in working capital. Net cash used in operating activities for the year ended December 31, 2024 consisted primarily of net product sales of NEXLETOL and NEXLIZET, the Settlement Agreement with DSE and other cash received from our collaboration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agreements fully offset by cash used to fund the commercialization activities of NEXLETOL and NEXLIZET and the research and development costs related to bempedoic acid and the bempedoic acid / ezetimibe combination tablet, adjusted for non-cash expenses such as the loss extinguishment of debt associated with our RIPA and convertible note Exchange Transaction, royalty revenue paid or to be paid to OMERS, stock-based compensation expense, interest expense related to our RIPA with Oberland and royalty sale agreement, amortization of issuance costs on our convertible notes, depreciation and amortization and changes in working capital.</w:t>
      </w:r>
    </w:p>
    <w:p>
      <w:pPr>
        <w:spacing w:after="0" w:line="17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decrease in cash used in operating activities for the year ended December 31, 2025 compared to the year ended December 31, 2024 was primarily related to a decrease in net loss resulting from increases in net product sales and collaboration revenue, primarily related to our milestone payments from Otsuka, partially offset by increases in inventory and prepaid inventory and increases in cost of goods sold related to additional sales, adjusted for normal working capital and timing of cash outlays.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4"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There was no cash used in investing activities for the year ended December 31, 2025. Net cash used in investing activities of $0.3 million for the year ended December 31, 2024 consisted of purchases of property and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Net cash provided by financing activities of $36.2 million for the year ended December 31, 2025, related primarily to cash received from our 2023 ATM program, October 2025 Offering, and warrant exercises, offset partially by payment of the 2025 convertible notes and issuance costs on our December 2024 Credit Agreement and Exchange Transaction. Net cash provided by financing activities of $86.5 million for the year ended December 31, 2024, related primarily to proceeds from our January 2024 Offering, royalty sale agreement, the Loan and issuance of convertible notes and warrant exercises, offset partially by the cash outlays resulting in the extinguishment of our RIPA and Exchange Transaction of convertible notes</w:t>
      </w:r>
    </w:p>
    <w:p>
      <w:pPr>
        <w:spacing w:after="0" w:line="1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On October 7, 2025, we entered into the 2025 Underwriting Agreement with Piper Sandler &amp; Co. and Cantor Fitzgerald &amp; Co., as representatives of the 2025 Underwriters, pursuant to which we issued and sold an aggregate of 31,065,000 shares of Common Stock, which includes the partial exercise of the underwriters’ option to purchase 1,065,000 additional shares, at the public offering price of $2.50 per share. As a result of the Offering, we received approximately $72.6 million in net proceeds, after deducting the underwriting discount and offering expenses of approximately $5.1 million.</w:t>
      </w:r>
    </w:p>
    <w:p>
      <w:pPr>
        <w:spacing w:after="0" w:line="1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On June 27, 2024, we entered into a Royalty Purchase Agreement, or the Purchase Agreement, with OMERS. Pursuant to the Purchase Agreement, we sold a portion of the royalties payable on net sales of Bempedoic Acid from our collaboration partner DSE. Pursuant to the Purchase Agreement, we received $304.7 million, less issuance costs. OMERS acquired 100% of the Royalty Interests until such time as they have received an aggregate amount equal to 1.7x of the Purchase Price (equivalent to approximately $517.9 million). Following receipt of such amount, 100% of all Royalty Interests will revert to the Company. Through December 31, 2025, the royalties recognized and settled to the Purchaser was $81.1 million The Company expects future royalties to OMERS may range from $87.6 million in the next year to a maximum total payment of approximately $349.2 million beyond one year. A significant increase or decrease in future royalties will materially impact the royalty sale liability, interest expense and the time period for repayment. Refer to Note 11 to our audited financial statements appearing elsewhere in this Annual Report on Form 10-K for further information.</w:t>
      </w:r>
    </w:p>
    <w:p>
      <w:pPr>
        <w:spacing w:after="0" w:line="179"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On June 27, 2024, we repurchased the Revenue Interests outstanding under the RIPA for $343.8 million and recognized a loss on extinguishment of debt in the statements of operations of $53.2 million. Following the repurchase in June 2024, we no longer owe payments under the RIPA. Refer to Note 10 to our audited financial statements appearing elsewhere in this Annual Report on Form 10-K for further information.</w:t>
      </w:r>
    </w:p>
    <w:p>
      <w:pPr>
        <w:spacing w:after="0" w:line="18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On December 17, 2024, we entered into an Exchange Agreement where we repaid $210.1 million aggregate principal amount of our $265.0 million 2025 Notes and associated accrued interest. Payments under the 4.00% 2025 Notes after the Exchange Transaction included annual interest of $2.2 million and a principal payment of $54.9 million</w:t>
      </w:r>
      <w:r>
        <w:rPr>
          <w:rFonts w:ascii="Arial" w:cs="Arial" w:eastAsia="Arial" w:hAnsi="Arial"/>
          <w:sz w:val="17"/>
          <w:szCs w:val="17"/>
          <w:i w:val="1"/>
          <w:iCs w:val="1"/>
          <w:color w:val="auto"/>
        </w:rPr>
        <w:t>.</w:t>
      </w:r>
      <w:r>
        <w:rPr>
          <w:rFonts w:ascii="Times New Roman" w:cs="Times New Roman" w:eastAsia="Times New Roman" w:hAnsi="Times New Roman"/>
          <w:sz w:val="17"/>
          <w:szCs w:val="17"/>
          <w:color w:val="auto"/>
        </w:rPr>
        <w:t xml:space="preserve"> In November 2025, we repaid the 2025 Notes in full and have no future payments. Refer to Note 12 to our audited financial statements appearing elsewhere in this Annual Report on Form 10-K.</w:t>
      </w:r>
    </w:p>
    <w:p>
      <w:pPr>
        <w:spacing w:after="0" w:line="196"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7"/>
          <w:szCs w:val="17"/>
          <w:color w:val="auto"/>
        </w:rPr>
        <w:t>On December 17, 2024, we issued $100.0 million aggregate principal amount of 5.75% convertible senior subordinated notes due 2030 to certain financial institutions as the initial purchasers of the convertible notes, or 2030 Notes. Future payments under the 2030 Notes include annual interest of approximately $5.8 million and a principal payment of $100.0 million in 2030</w:t>
      </w:r>
      <w:r>
        <w:rPr>
          <w:rFonts w:ascii="Arial" w:cs="Arial" w:eastAsia="Arial" w:hAnsi="Arial"/>
          <w:sz w:val="17"/>
          <w:szCs w:val="17"/>
          <w:i w:val="1"/>
          <w:iCs w:val="1"/>
          <w:color w:val="auto"/>
        </w:rPr>
        <w:t>.</w:t>
      </w:r>
      <w:r>
        <w:rPr>
          <w:rFonts w:ascii="Times New Roman" w:cs="Times New Roman" w:eastAsia="Times New Roman" w:hAnsi="Times New Roman"/>
          <w:sz w:val="17"/>
          <w:szCs w:val="17"/>
          <w:color w:val="auto"/>
        </w:rPr>
        <w:t xml:space="preserve"> Refer to Note 12 to our audited financial statements appearing elsewhere in this Annual Report on Form 10-K.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On December 13, 2024, we entered into a Credit Agreement for a $150.0 million Loan, which was borrowed in full at closing. Proceeds from the Loan were used repay a portion of the outstanding obligations under our 2025 Notes, and to pay an original issue discount of $3.8 million and fees and expenses in connection with the Credit Agreement of $5.4 million. The Loan will bear interest at an annual rate of 9.75% if paid in cash, and 11.75% if paid-in-kind. At the Company’s option, interest on the Loan may be paid-in-kind for the first four full fiscal quarters ending after the closing date. As the Company elected to have interest on the loan paid-in-kind for the quarter ended June 30, 2025 and for the quarter ended September 30, 2025, $9.1 was added to the principal balance of the Loan. The Credit Agreement requires quarterly interest-only payments for the first four years after the closing date and, thereafter, the Loan will partially amortize in quarterly principal payments of 12.5%, with the outstanding balance to be repaid on the maturity date of December 13, 2029. Future payments under the Loan are expected to be annual interest of $15.7 million, $19.9 million in principal in the year ended December 31, 2028, and the remaining approximately $139.2 million in principal in the year ended December 31, 2029.</w:t>
      </w:r>
    </w:p>
    <w:p>
      <w:pPr>
        <w:spacing w:after="0" w:line="20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On February 21, 2023, we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and the prospectus supplement filed on February 21, 2023. During the year ended December 31, 2025, we issued 7,661,505 shares of common stock resulting in net proceeds of approximately $15.4 million after deducting approximately $0.4 million of commissions and other expenses, pursuant to the 2023 ATM Program. During the year ended December 31, 2024, we issued 378,902 shares of common stock resulting in net proceeds of approximately $0.5 million after deducting approximately $0.2 million of commissions and expense reimbursement payable to sales agent and other expenses, pursuant to the 2023 ATM Program.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22, 2023, we issued and sold, in the Registered Direct Offering, 12,205,000 shares of our common stock, pre-funded warrants to purchase up to 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of 20,965,747 shares of our common stock, and warrants to purchase up to 33,170,747 shares of our common stock. The combined purchase price of</w:t>
      </w:r>
    </w:p>
    <w:p>
      <w:pPr>
        <w:spacing w:after="0" w:line="222" w:lineRule="auto"/>
        <w:rPr>
          <w:sz w:val="20"/>
          <w:szCs w:val="20"/>
          <w:color w:val="auto"/>
        </w:rPr>
      </w:pPr>
      <w:r>
        <w:rPr>
          <w:rFonts w:ascii="Times New Roman" w:cs="Times New Roman" w:eastAsia="Times New Roman" w:hAnsi="Times New Roman"/>
          <w:sz w:val="17"/>
          <w:szCs w:val="17"/>
          <w:color w:val="auto"/>
        </w:rPr>
        <w:t>each share of common stock and accompanying warrant was $1.675 per share. The purchase price of each pre-funded warrant and the accompanying warrant was</w:t>
      </w:r>
    </w:p>
    <w:p>
      <w:pPr>
        <w:spacing w:after="0" w:line="238" w:lineRule="auto"/>
        <w:rPr>
          <w:sz w:val="20"/>
          <w:szCs w:val="20"/>
          <w:color w:val="auto"/>
        </w:rPr>
      </w:pPr>
      <w:r>
        <w:rPr>
          <w:rFonts w:ascii="Times New Roman" w:cs="Times New Roman" w:eastAsia="Times New Roman" w:hAnsi="Times New Roman"/>
          <w:sz w:val="17"/>
          <w:szCs w:val="17"/>
          <w:color w:val="auto"/>
        </w:rPr>
        <w:t>$1.674 (equal to the combined purchase price per share of common stock and accompanying warrant, minus $0.001). In connection with the Registered Direct</w:t>
      </w:r>
    </w:p>
    <w:p>
      <w:pPr>
        <w:spacing w:after="0" w:line="237" w:lineRule="auto"/>
        <w:rPr>
          <w:sz w:val="20"/>
          <w:szCs w:val="20"/>
          <w:color w:val="auto"/>
        </w:rPr>
      </w:pPr>
      <w:r>
        <w:rPr>
          <w:rFonts w:ascii="Times New Roman" w:cs="Times New Roman" w:eastAsia="Times New Roman" w:hAnsi="Times New Roman"/>
          <w:sz w:val="17"/>
          <w:szCs w:val="17"/>
          <w:color w:val="auto"/>
        </w:rPr>
        <w:t>Offering, we amended certain existing warrants to purchase up to an aggregate of 9,024,212 shares of our common stock that were previously issued in December</w:t>
      </w:r>
    </w:p>
    <w:p>
      <w:pPr>
        <w:spacing w:after="0"/>
        <w:rPr>
          <w:sz w:val="20"/>
          <w:szCs w:val="20"/>
          <w:color w:val="auto"/>
        </w:rPr>
      </w:pPr>
      <w:r>
        <w:rPr>
          <w:rFonts w:ascii="Times New Roman" w:cs="Times New Roman" w:eastAsia="Times New Roman" w:hAnsi="Times New Roman"/>
          <w:sz w:val="17"/>
          <w:szCs w:val="17"/>
          <w:color w:val="auto"/>
        </w:rPr>
        <w:t>2021 at an exercise price of $9.00 per share and had an expiration date of December 7, 2023, such that the amended warrants have a reduced exercise price of</w:t>
      </w:r>
    </w:p>
    <w:p>
      <w:pPr>
        <w:spacing w:after="0" w:line="237" w:lineRule="auto"/>
        <w:rPr>
          <w:sz w:val="20"/>
          <w:szCs w:val="20"/>
          <w:color w:val="auto"/>
        </w:rPr>
      </w:pPr>
      <w:r>
        <w:rPr>
          <w:rFonts w:ascii="Times New Roman" w:cs="Times New Roman" w:eastAsia="Times New Roman" w:hAnsi="Times New Roman"/>
          <w:sz w:val="17"/>
          <w:szCs w:val="17"/>
          <w:color w:val="auto"/>
        </w:rPr>
        <w:t>$1.55 per share. The warrants are immediately exercisable and will expire on September 22, 2026, which may provide us with additional funding, if such warrants</w:t>
      </w:r>
    </w:p>
    <w:p>
      <w:pPr>
        <w:spacing w:after="0"/>
        <w:rPr>
          <w:sz w:val="20"/>
          <w:szCs w:val="20"/>
          <w:color w:val="auto"/>
        </w:rPr>
      </w:pPr>
      <w:r>
        <w:rPr>
          <w:rFonts w:ascii="Times New Roman" w:cs="Times New Roman" w:eastAsia="Times New Roman" w:hAnsi="Times New Roman"/>
          <w:sz w:val="17"/>
          <w:szCs w:val="17"/>
          <w:color w:val="auto"/>
        </w:rPr>
        <w:t>are exercised by their holders. Each pre-funded warrant is exercisable for one share of our common stock at an exercise price of $0.001 per share. The pre-funded</w:t>
      </w:r>
    </w:p>
    <w:p>
      <w:pPr>
        <w:spacing w:after="0" w:line="237" w:lineRule="auto"/>
        <w:rPr>
          <w:sz w:val="20"/>
          <w:szCs w:val="20"/>
          <w:color w:val="auto"/>
        </w:rPr>
      </w:pPr>
      <w:r>
        <w:rPr>
          <w:rFonts w:ascii="Times New Roman" w:cs="Times New Roman" w:eastAsia="Times New Roman" w:hAnsi="Times New Roman"/>
          <w:sz w:val="17"/>
          <w:szCs w:val="17"/>
          <w:color w:val="auto"/>
        </w:rPr>
        <w:t>warrants were immediately exercisable and could be exercised at any time. As of December 31, 2024, no pre-funded warrants were outstanding. During the year</w:t>
      </w:r>
    </w:p>
    <w:p>
      <w:pPr>
        <w:spacing w:after="0"/>
        <w:rPr>
          <w:sz w:val="20"/>
          <w:szCs w:val="20"/>
          <w:color w:val="auto"/>
        </w:rPr>
      </w:pPr>
      <w:r>
        <w:rPr>
          <w:rFonts w:ascii="Times New Roman" w:cs="Times New Roman" w:eastAsia="Times New Roman" w:hAnsi="Times New Roman"/>
          <w:sz w:val="17"/>
          <w:szCs w:val="17"/>
          <w:color w:val="auto"/>
        </w:rPr>
        <w:t>ended December 31, 2025, we received net proceeds of approximately $10.3 million from the exercise of warrants. During the year ended December 31, 2024, we</w:t>
      </w:r>
    </w:p>
    <w:p>
      <w:pPr>
        <w:spacing w:after="0" w:line="237" w:lineRule="auto"/>
        <w:rPr>
          <w:sz w:val="20"/>
          <w:szCs w:val="20"/>
          <w:color w:val="auto"/>
        </w:rPr>
      </w:pPr>
      <w:r>
        <w:rPr>
          <w:rFonts w:ascii="Times New Roman" w:cs="Times New Roman" w:eastAsia="Times New Roman" w:hAnsi="Times New Roman"/>
          <w:sz w:val="17"/>
          <w:szCs w:val="17"/>
          <w:color w:val="auto"/>
        </w:rPr>
        <w:t>received net proceeds of approximately $14.8 million from the exercise of warrants. Refer to Note 13 to our audited financial statements appearing elsewhere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Annual Report on Form 10-K for further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Plan of Operations and Funding Requirements</w:t>
      </w:r>
    </w:p>
    <w:p>
      <w:pPr>
        <w:spacing w:after="0" w:line="2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We expect to continue to incur operating losses for the immediate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Daiichi Sankyo and Otsuka are sufficient to fund operations for the foreseeable future. To finance the acquisition under the Merger Agreement with Corstasis, we plan to leverage our existing credit facilities and monetize our Japanese royalties.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or any of our product candidates,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or any of our product candidates. Our future funding requirements will depend on many factors, including, but not limited to:</w:t>
      </w:r>
    </w:p>
    <w:p>
      <w:pPr>
        <w:spacing w:after="0" w:line="223" w:lineRule="exact"/>
        <w:rPr>
          <w:sz w:val="20"/>
          <w:szCs w:val="20"/>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and commercialize NEXLETOL and NEXLIZET or other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and payment of potential debt maturities;</w:t>
      </w:r>
    </w:p>
    <w:p>
      <w:pPr>
        <w:spacing w:after="0" w:line="217"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collaborations and partnerships and our ability to establish any future collaboration or commercialization arrangements on favorable terms, if at all;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right="320" w:hanging="307"/>
        <w:spacing w:after="0" w:line="272"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intended benefits of our existing and future collaboration and partnerships, including receiving potential milestone payments from collaboration partners;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results of clinical trials and regulatory actions relating to our product candidates or those of our competitors;</w:t>
      </w:r>
    </w:p>
    <w:p>
      <w:pPr>
        <w:spacing w:after="0" w:line="205" w:lineRule="exact"/>
        <w:rPr>
          <w:rFonts w:ascii="Times New Roman" w:cs="Times New Roman" w:eastAsia="Times New Roman" w:hAnsi="Times New Roman"/>
          <w:sz w:val="17"/>
          <w:szCs w:val="17"/>
          <w:color w:val="auto"/>
        </w:rPr>
      </w:pPr>
    </w:p>
    <w:p>
      <w:pPr>
        <w:ind w:left="620" w:right="580" w:hanging="307"/>
        <w:spacing w:after="0" w:line="272"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expand and advance our pipeline through business development activities, including collaborations, licensing arrangements or other strategic transactions, and our ability to execute and realize the anticipated and potential benefits of any such transactions we may pursue;</w:t>
      </w:r>
    </w:p>
    <w:p>
      <w:pPr>
        <w:spacing w:after="0" w:line="151" w:lineRule="exact"/>
        <w:rPr>
          <w:rFonts w:ascii="Times New Roman" w:cs="Times New Roman" w:eastAsia="Times New Roman" w:hAnsi="Times New Roman"/>
          <w:sz w:val="17"/>
          <w:szCs w:val="17"/>
          <w:color w:val="auto"/>
        </w:rPr>
      </w:pPr>
    </w:p>
    <w:p>
      <w:pPr>
        <w:ind w:left="620" w:right="480" w:hanging="307"/>
        <w:spacing w:after="0" w:line="247"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applications, issued patents or other proprietary rights, including challenges to the validity, scope or enforceability of our issued patents, litigation or other proceedings arising from ANDA filings or similar regulatory submissions, and our ability to defend and enforce our intellectual property rights;</w:t>
      </w:r>
    </w:p>
    <w:p>
      <w:pPr>
        <w:spacing w:after="0" w:line="171" w:lineRule="exact"/>
        <w:rPr>
          <w:rFonts w:ascii="Times New Roman" w:cs="Times New Roman" w:eastAsia="Times New Roman" w:hAnsi="Times New Roman"/>
          <w:sz w:val="17"/>
          <w:szCs w:val="17"/>
          <w:color w:val="auto"/>
        </w:rPr>
      </w:pPr>
    </w:p>
    <w:p>
      <w:pPr>
        <w:ind w:left="620" w:right="200" w:hanging="307"/>
        <w:spacing w:after="0" w:line="272"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disruptions in review, approval, inspection, or other actions by the FDA or other applicable U.S. or foreign government regulatory authorities that could impact the timing, initiation, conduct, or completion of our clinical trials or marketing applications;</w:t>
      </w:r>
    </w:p>
    <w:p>
      <w:pPr>
        <w:spacing w:after="0" w:line="164"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operational and financial information technology; and</w:t>
      </w:r>
    </w:p>
    <w:p>
      <w:pPr>
        <w:spacing w:after="0" w:line="217"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macroeconomic and geopolitical developments, including increases in inflationary rates, capital market disruptions, disruptions of U.S. governmental agencies, whether from U.S. federal government shutdowns or reduced resources, tariffs, trade protection measures, economic sanctions and related economic slowdowns or recessions, any of which could adversely affect our access to capital markets.</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Until such time, if ever, as we can generate substantial U.S. product revenues, we expect to finance our cash needs through a combination of collaborations with third parties, strategic alliances, licensing arrangements, debt financings,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and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we may have to relinquish valuable rights to our technologies, future revenue streams or grant licenses on terms that may not be favorable to us. Similarly, adverse macroeconomic conditions and market volatility resulting from global and national economic developments, political unrest, high inflation, disruptions in capital markets, changes in international trade relationships, changes in or the disruptions of U.S. governmental agencies, whether from U.S. federal government shutdowns or reduced resources, new laws and regulations or amendments to existing laws and regulations in the U.S. and foreign countries, trade protection measures, economic sanctions and economic slowdowns or recessions, or other factors could materially and adversely affect our ability to consummate an equity or debt financing on favorable terms or at all.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and on favorable terms, if at all,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78"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We do not currently have, nor did we have during the periods presented, any off-balance sheet arrangements as defined by Securities and Exchange Commission rules, or the SEC, rules.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had cash and cash equivalents of approximately $167.9 million at December 31, 2025. The primary objectives of our investment activities are to preserve principal, provide liquidity and maximize income without significantly increasing risk. Our primary exposure to market risk relates to fluctuations in interest rates which are affected by changes in the general level of U.S. interest rates. Given the short-term nature of our cash equivalents, we believe that a sudden change in market interest rates would not be expected to have a material impact on our financial condition and/or results of operations. We do not have any foreign currency or other derivative financial instruments.</w:t>
      </w:r>
    </w:p>
    <w:p>
      <w:pPr>
        <w:spacing w:after="0" w:line="173"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We maintain significant amounts of cash and cash equivalents at one or more financial institutions that are in excess of federally insured limits. We do not believe that our cash and cash equivalents have significant risk of default or illiquidity.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contract with CROs and investigational sites globally. We are therefore subject to fluctuations in foreign currency rates in connection with these agreements.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hedge our foreign currency exchange rate risk.</w:t>
      </w:r>
    </w:p>
    <w:p>
      <w:pPr>
        <w:spacing w:after="0" w:line="201"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and clinical study costs. We do not believe that inflation has had a material effect on our results of operations during the year ended December 31, 2025.</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Our outstanding warrants currently have an exercise price of $1.55 per share and holders of such warrants may not exercise if the market price of our common stock is below $1.55. As a result, we may be unable to obtain potential proceeds from the exercise of these warrants if the market price of our common stock does not exceed $1.55 per share.</w:t>
      </w:r>
    </w:p>
    <w:p>
      <w:pPr>
        <w:spacing w:after="0" w:line="20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2030 Notes, which were issued in December 2024, carry a fixed rate of 5.75%. Our Loan, which was issued in December 2025, carries a fixed interest rate of 9.75%. Since the convertible notes and the Loan bear interest at a fixed rate, we have no direct financial statement risk associated with changes in interest rates. We do not believe a change in interest rate has had a material effect on our results of operations during the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statements required to be filed pursuant to this Item 8 are appended to this report. An index of those financial statements is found in Item 15.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5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spacing w:after="0" w:line="10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As of December 31, 2025,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2025, our disclosure controls and procedures were not effective due to a material weakness in our internal control over financial reporting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5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officer and principal financial officer and effected by the company’s board of directors, management and other personnel, to provide reasonable assurance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1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assessed the effectiveness of our internal control over financial reporting as of December 31, 2025, based on criteria for effective internal control over financial reporting established in Internal Control — Integrated Framework (2013), issued by the Committee of Sponsoring Organizations of the Treadway Commission (COSO). Based on its assessment, management concluded that our internal control over financial reporting was not effective as of December 31, 2025, based on those criteria.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Previously Identified Material Weakness in Internal Control over Financial Reporting</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previously reported, in connection with the preparation of our Quarterly Report on Form 10-Q for the quarter ended June 30, 2025, our management discovered that certain information related to our inventory and cost of sales balances was inaccurately reported in our earnings release for the quarter ended June 30, 2025, originally issued and furnished with our Current Report on Form 8-K filed on August 5, 2025. Following discovery of such errors, we filed a Current Report on Form 8-K/A that furnished a corrected version of the earnings release on August 11, 2025. As a result of the foregoing, our Chief Executive Officer and Chief Financial Officer concluded that a material weakness in our internal control over financial reporting existed related to the accounting for inventory held at a certain third-party contract manufacturing organization, and have further concluded that such material weakness had not been remediated as of December 31, 2025.</w:t>
      </w:r>
    </w:p>
    <w:p>
      <w:pPr>
        <w:spacing w:after="0" w:line="10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 response to the material weakness identified above, our management performed additional analyses as deemed necessary to ensure that our financial statements were prepared in accordance with generally accepted accounting principles in the United States of America, or U.S. GAAP. Notwithstanding the material weakness in our internal control over financial reporting, our management has concluded that the financial statements and related notes thereto included in this Annual Report on Form 10-K present fairly, in all material respects, our financial position, results of operations and cash flows for the periods presented in conformity with U.S. GAAP.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Remediation Plan</w:t>
      </w:r>
    </w:p>
    <w:p>
      <w:pPr>
        <w:spacing w:after="0" w:line="15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Following identification of the material weakness disclosed above, and with oversight from the Audit Committee of our Board of Directors (the “Audit Committee”) and input from our management, we designed and implemented changes to our processes and controls to remediate the material weakness and to enhance our internal control over financial reporting, including enhanced controls related to inventory existence held at, and movements of inventory between, our third party contract manufacturing organizations. While we believe the steps taken to date and those planned for future implementation will improve the effectiveness of our internal control over financial reporting, we have not completed all remediation efforts. The material weakness cannot be considered remediated until applicable controls have operated for a sufficient period of time and management has concluded, through testing, that these controls are operating effectively. Accordingly, we will continue to monitor and evaluate the effectiveness of our internal control over financial reporting.</w:t>
      </w:r>
    </w:p>
    <w:p>
      <w:pPr>
        <w:spacing w:after="0" w:line="100"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5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There were no changes to our internal control over financial reporting that occurred during the three months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40"/>
          </w:cols>
          <w:pgMar w:left="320" w:top="123" w:right="8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Stockholders and the Board of Directors of Esperion Therapeutics, Inc.</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Esperion Therapeutics, Inc.’s internal control over financial reporting as of December 31, 2025, based on criteria established in Internal Control —Integrated Framework issued by the Committee of Sponsoring Organizations of the Treadway Commission (2013 framework) (the COSO criteria). In our opinion, because of the effect of the material weakness described below on the achievement of the objectives of the control criteria, Esperion Therapeutics, Inc. (the Company) has not maintained effective internal control over financial reporting as of December 31, 2025, based on the COSO criteria.</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controls related to the accounting for inventory held at a certain third-party contract manufacturing organization.</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balance sheets of the Company as of December 31, 2025 and 2024, the related statements of operations and comprehensive loss, stockholders’ deficit and cash flows for each of the three years in the period ended December 31, 2025, and the related notes. This material weakness was considered in determining the nature, timing and extent of audit tests applied in our audit of the 2025 financial statements, and this report does not affect our report dated March 10, 2026, which expressed an unqualified opinion thereon.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Detroit, Michigan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22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During the three months ended December 31, 2025, none of our directors or officers (as defined in Rule 16a-1 under the Exchange Act) adopted or terminated a “Rule 10b5-1 trading arrangement” or “non-Rule 10b5-1 trading arrangement” (as those terms are defined in Item 408 of Regulation 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20"/>
          </w:cols>
          <w:pgMar w:left="320" w:top="123" w:right="5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2"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10 is incorporated herein by reference to the information that will be contained in our definitive proxy statement related to the 2026 Annual Meeting of Stockholders, which we intend to file with the Securities and Exchange Commission, or the SEC within 120 days of the end of our fiscal year pursuant to General Instruction G(3) of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11 (excluding the information under the subheading “Pay Versus Performance”) is incorporated herein by reference to the information that will be contained in our definitive proxy statement related to the 2026 Annual Meeting of Stockholders, which we intend to file with the SEC within 120 days of the end of our fiscal year pursuant to General Instruction G(3) of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12 is incorporated herein by reference to the information that will be contained in our definitive proxy statement related to the 2026 Annual Meeting of Stockholders, which we intend to file with the SEC within 120 days of the end of our fiscal year pursuant to General Instruction G(3) of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13 is incorporated herein by reference to the information that will be contained in our definitive proxy statement related to the 2026 Annual Meeting of Stockholders, which we intend to file with the SEC within 120 days of the end of our fiscal year pursuant to General Instruction G(3) of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independent public accounting firm is Ernst &amp; Young LLP, Detroit, Michigan, PCAOB Auditor ID 42.</w:t>
      </w:r>
    </w:p>
    <w:p>
      <w:pPr>
        <w:spacing w:after="0" w:line="2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14 is incorporated herein by reference to the information that will be contained in our definitive proxy statement related to the 2026 Annual Meeting of Stockholders, which we intend to file with the SEC within 120 days of the end of our fiscal year pursuant to General Instruction G(3) of Form 10-K.</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95"/>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740" w:type="dxa"/>
            <w:vAlign w:val="bottom"/>
          </w:tcPr>
          <w:p>
            <w:pPr>
              <w:spacing w:after="0"/>
              <w:rPr>
                <w:sz w:val="17"/>
                <w:szCs w:val="17"/>
                <w:color w:val="auto"/>
              </w:rPr>
            </w:pPr>
          </w:p>
        </w:tc>
      </w:tr>
      <w:tr>
        <w:trPr>
          <w:trHeight w:val="962"/>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0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2740" w:type="dxa"/>
            <w:vAlign w:val="bottom"/>
          </w:tcPr>
          <w:p>
            <w:pPr>
              <w:spacing w:after="0"/>
              <w:rPr>
                <w:sz w:val="24"/>
                <w:szCs w:val="24"/>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tc>
        <w:tc>
          <w:tcPr>
            <w:tcW w:w="2740" w:type="dxa"/>
            <w:vAlign w:val="bottom"/>
          </w:tcPr>
          <w:p>
            <w:pPr>
              <w:spacing w:after="0"/>
              <w:rPr>
                <w:sz w:val="24"/>
                <w:szCs w:val="24"/>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  The following documents are filed as part of this report:</w:t>
            </w:r>
          </w:p>
        </w:tc>
        <w:tc>
          <w:tcPr>
            <w:tcW w:w="2740" w:type="dxa"/>
            <w:vAlign w:val="bottom"/>
          </w:tcPr>
          <w:p>
            <w:pPr>
              <w:spacing w:after="0"/>
              <w:rPr>
                <w:sz w:val="24"/>
                <w:szCs w:val="24"/>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(1) Financial Statements:</w:t>
            </w:r>
          </w:p>
        </w:tc>
        <w:tc>
          <w:tcPr>
            <w:tcW w:w="27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 (PCAOB Auditor ID 42)</w:t>
            </w: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F-2</w:t>
            </w:r>
          </w:p>
        </w:tc>
      </w:tr>
      <w:tr>
        <w:trPr>
          <w:trHeight w:val="200"/>
        </w:trPr>
        <w:tc>
          <w:tcPr>
            <w:tcW w:w="40" w:type="dxa"/>
            <w:vAlign w:val="bottom"/>
          </w:tcPr>
          <w:p>
            <w:pPr>
              <w:spacing w:after="0"/>
              <w:rPr>
                <w:sz w:val="17"/>
                <w:szCs w:val="17"/>
                <w:color w:val="auto"/>
              </w:rPr>
            </w:pPr>
          </w:p>
        </w:tc>
        <w:tc>
          <w:tcPr>
            <w:tcW w:w="57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Balance Sheets</w:t>
            </w:r>
          </w:p>
        </w:tc>
        <w:tc>
          <w:tcPr>
            <w:tcW w:w="2640" w:type="dxa"/>
            <w:vAlign w:val="bottom"/>
          </w:tcPr>
          <w:p>
            <w:pPr>
              <w:spacing w:after="0"/>
              <w:rPr>
                <w:sz w:val="17"/>
                <w:szCs w:val="17"/>
                <w:color w:val="auto"/>
              </w:rPr>
            </w:pP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F-4</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Statements of Operations and Comprehensive Loss</w:t>
            </w: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F-5</w:t>
            </w:r>
          </w:p>
        </w:tc>
      </w:tr>
      <w:tr>
        <w:trPr>
          <w:trHeight w:val="200"/>
        </w:trPr>
        <w:tc>
          <w:tcPr>
            <w:tcW w:w="40" w:type="dxa"/>
            <w:vAlign w:val="bottom"/>
          </w:tcPr>
          <w:p>
            <w:pPr>
              <w:spacing w:after="0"/>
              <w:rPr>
                <w:sz w:val="17"/>
                <w:szCs w:val="17"/>
                <w:color w:val="auto"/>
              </w:rPr>
            </w:pPr>
          </w:p>
        </w:tc>
        <w:tc>
          <w:tcPr>
            <w:tcW w:w="35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Statements of Stockholders’ Deficit</w:t>
            </w:r>
          </w:p>
        </w:tc>
        <w:tc>
          <w:tcPr>
            <w:tcW w:w="4900" w:type="dxa"/>
            <w:vAlign w:val="bottom"/>
            <w:gridSpan w:val="2"/>
          </w:tcPr>
          <w:p>
            <w:pPr>
              <w:spacing w:after="0"/>
              <w:rPr>
                <w:sz w:val="17"/>
                <w:szCs w:val="17"/>
                <w:color w:val="auto"/>
              </w:rPr>
            </w:pP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F-6</w:t>
            </w:r>
          </w:p>
        </w:tc>
      </w:tr>
      <w:tr>
        <w:trPr>
          <w:trHeight w:val="200"/>
        </w:trPr>
        <w:tc>
          <w:tcPr>
            <w:tcW w:w="4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Statements of Cash Flows</w:t>
            </w:r>
          </w:p>
        </w:tc>
        <w:tc>
          <w:tcPr>
            <w:tcW w:w="660" w:type="dxa"/>
            <w:vAlign w:val="bottom"/>
            <w:tcBorders>
              <w:top w:val="single" w:sz="8" w:color="0000FF"/>
            </w:tcBorders>
            <w:gridSpan w:val="2"/>
          </w:tcPr>
          <w:p>
            <w:pPr>
              <w:spacing w:after="0"/>
              <w:rPr>
                <w:sz w:val="17"/>
                <w:szCs w:val="17"/>
                <w:color w:val="auto"/>
              </w:rPr>
            </w:pPr>
          </w:p>
        </w:tc>
        <w:tc>
          <w:tcPr>
            <w:tcW w:w="5960" w:type="dxa"/>
            <w:vAlign w:val="bottom"/>
            <w:gridSpan w:val="3"/>
          </w:tcPr>
          <w:p>
            <w:pPr>
              <w:spacing w:after="0"/>
              <w:rPr>
                <w:sz w:val="17"/>
                <w:szCs w:val="17"/>
                <w:color w:val="auto"/>
              </w:rPr>
            </w:pP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F-7</w:t>
            </w:r>
          </w:p>
        </w:tc>
      </w:tr>
      <w:tr>
        <w:trPr>
          <w:trHeight w:val="200"/>
        </w:trPr>
        <w:tc>
          <w:tcPr>
            <w:tcW w:w="40" w:type="dxa"/>
            <w:vAlign w:val="bottom"/>
          </w:tcPr>
          <w:p>
            <w:pPr>
              <w:spacing w:after="0"/>
              <w:rPr>
                <w:sz w:val="17"/>
                <w:szCs w:val="17"/>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Financial Statements</w:t>
            </w: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F-8</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8" w:lineRule="exact"/>
        <w:rPr>
          <w:sz w:val="20"/>
          <w:szCs w:val="20"/>
          <w:color w:val="auto"/>
        </w:rPr>
      </w:pPr>
    </w:p>
    <w:p>
      <w:pPr>
        <w:ind w:right="240" w:firstLine="620"/>
        <w:spacing w:after="0" w:line="288" w:lineRule="auto"/>
        <w:rPr>
          <w:sz w:val="20"/>
          <w:szCs w:val="20"/>
          <w:color w:val="auto"/>
        </w:rPr>
      </w:pPr>
      <w:r>
        <w:rPr>
          <w:rFonts w:ascii="Times New Roman" w:cs="Times New Roman" w:eastAsia="Times New Roman" w:hAnsi="Times New Roman"/>
          <w:sz w:val="17"/>
          <w:szCs w:val="17"/>
          <w:color w:val="auto"/>
        </w:rPr>
        <w:t>All financial statement schedules have been omitted because they are not applicable, not required or the information required is shown in the financial statements or the notes thereto.</w:t>
      </w:r>
    </w:p>
    <w:p>
      <w:pPr>
        <w:spacing w:after="0" w:line="151" w:lineRule="exact"/>
        <w:rPr>
          <w:sz w:val="20"/>
          <w:szCs w:val="20"/>
          <w:color w:val="auto"/>
        </w:rPr>
      </w:pPr>
    </w:p>
    <w:p>
      <w:pPr>
        <w:ind w:left="320" w:right="120" w:hanging="317"/>
        <w:spacing w:after="0" w:line="288" w:lineRule="auto"/>
        <w:tabs>
          <w:tab w:leader="none" w:pos="31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The exhibits filed as part of this Annual Report on Form 10-K are set forth on the Exhibit Index included herein. The Exhibit Index is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53" w:lineRule="exact"/>
        <w:rPr>
          <w:sz w:val="20"/>
          <w:szCs w:val="20"/>
          <w:color w:val="auto"/>
        </w:rPr>
      </w:pPr>
    </w:p>
    <w:p>
      <w:pPr>
        <w:ind w:left="280"/>
        <w:spacing w:after="0"/>
        <w:tabs>
          <w:tab w:leader="none" w:pos="57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3"/>
          <w:szCs w:val="13"/>
          <w:b w:val="1"/>
          <w:bCs w:val="1"/>
          <w:color w:val="auto"/>
        </w:rPr>
        <w:t>Description of Exhibit</w:t>
      </w:r>
    </w:p>
    <w:p>
      <w:pPr>
        <w:spacing w:after="0" w:line="41" w:lineRule="exact"/>
        <w:rPr>
          <w:sz w:val="20"/>
          <w:szCs w:val="20"/>
          <w:color w:val="auto"/>
        </w:rPr>
      </w:pPr>
    </w:p>
    <w:p>
      <w:pPr>
        <w:ind w:left="1640" w:right="40" w:hanging="636"/>
        <w:spacing w:after="0"/>
        <w:tabs>
          <w:tab w:leader="none" w:pos="1620" w:val="left"/>
        </w:tabs>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E32E1"/>
          </w:rPr>
          <w:t>3.1</w:t>
        </w:r>
      </w:hyperlink>
      <w:r>
        <w:rPr>
          <w:rFonts w:ascii="Times New Roman" w:cs="Times New Roman" w:eastAsia="Times New Roman" w:hAnsi="Times New Roman"/>
          <w:sz w:val="17"/>
          <w:szCs w:val="17"/>
          <w:u w:val="single" w:color="auto"/>
          <w:color w:val="0E32E1"/>
        </w:rPr>
        <w:tab/>
      </w:r>
      <w:hyperlink r:id="rId128">
        <w:r>
          <w:rPr>
            <w:rFonts w:ascii="Times New Roman" w:cs="Times New Roman" w:eastAsia="Times New Roman" w:hAnsi="Times New Roman"/>
            <w:sz w:val="17"/>
            <w:szCs w:val="17"/>
            <w:u w:val="single" w:color="auto"/>
            <w:color w:val="0000FF"/>
          </w:rPr>
          <w:t>Amended and Restated Certificate of Incorporation (incorporated by reference to Exhibit 3.2 to the Registrant’s Registration Statement on</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Form S-1, as amended (File No. 333-188595) filed on June 12, 2013)</w:t>
        </w:r>
      </w:hyperlink>
    </w:p>
    <w:p>
      <w:pPr>
        <w:ind w:left="1020"/>
        <w:spacing w:after="0"/>
        <w:tabs>
          <w:tab w:leader="none" w:pos="1620" w:val="left"/>
        </w:tabs>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3.2</w:t>
        </w:r>
      </w:hyperlink>
      <w:r>
        <w:rPr>
          <w:rFonts w:ascii="Times New Roman" w:cs="Times New Roman" w:eastAsia="Times New Roman" w:hAnsi="Times New Roman"/>
          <w:sz w:val="17"/>
          <w:szCs w:val="17"/>
          <w:u w:val="single" w:color="auto"/>
          <w:color w:val="0000FF"/>
        </w:rPr>
        <w:tab/>
      </w:r>
      <w:hyperlink r:id="rId129">
        <w:r>
          <w:rPr>
            <w:rFonts w:ascii="Times New Roman" w:cs="Times New Roman" w:eastAsia="Times New Roman" w:hAnsi="Times New Roman"/>
            <w:sz w:val="17"/>
            <w:szCs w:val="17"/>
            <w:u w:val="single" w:color="auto"/>
            <w:color w:val="0000FF"/>
          </w:rPr>
          <w:t>Certificate of Amendment to Amended and Restated Certificate of Incorporation of the Registrant (incorporated by reference to Exhibit</w:t>
        </w:r>
      </w:hyperlink>
    </w:p>
    <w:p>
      <w:pPr>
        <w:ind w:left="1640"/>
        <w:spacing w:after="0"/>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3.1 to the Registrant’s Current Report on Form 8-K, File No. 001-35986, filed on May 26, 2022)</w:t>
        </w:r>
      </w:hyperlink>
    </w:p>
    <w:p>
      <w:pPr>
        <w:spacing w:after="0" w:line="19" w:lineRule="exact"/>
        <w:rPr>
          <w:sz w:val="20"/>
          <w:szCs w:val="20"/>
          <w:color w:val="auto"/>
        </w:rPr>
      </w:pPr>
    </w:p>
    <w:p>
      <w:pPr>
        <w:ind w:left="1640" w:right="320" w:hanging="636"/>
        <w:spacing w:after="0"/>
        <w:tabs>
          <w:tab w:leader="none" w:pos="1620" w:val="left"/>
        </w:tabs>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3.3</w:t>
        </w:r>
      </w:hyperlink>
      <w:r>
        <w:rPr>
          <w:rFonts w:ascii="Times New Roman" w:cs="Times New Roman" w:eastAsia="Times New Roman" w:hAnsi="Times New Roman"/>
          <w:sz w:val="17"/>
          <w:szCs w:val="17"/>
          <w:u w:val="single" w:color="auto"/>
          <w:color w:val="0000FF"/>
        </w:rPr>
        <w:tab/>
      </w:r>
      <w:hyperlink r:id="rId130">
        <w:r>
          <w:rPr>
            <w:rFonts w:ascii="Times New Roman" w:cs="Times New Roman" w:eastAsia="Times New Roman" w:hAnsi="Times New Roman"/>
            <w:sz w:val="17"/>
            <w:szCs w:val="17"/>
            <w:u w:val="single" w:color="auto"/>
            <w:color w:val="0000FF"/>
          </w:rPr>
          <w:t>Certificate of Amendment No. 2 to Amended and Restated Certificate of Incorporation of the Registrant (incorporated by reference to</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Exhibit 3.1 to the Registrant’s Current Report on Form 8-K, File No. 001-35986, filed on June 15, 2023)</w:t>
        </w:r>
      </w:hyperlink>
    </w:p>
    <w:p>
      <w:pPr>
        <w:spacing w:after="0" w:line="10" w:lineRule="exact"/>
        <w:rPr>
          <w:rFonts w:ascii="Times New Roman" w:cs="Times New Roman" w:eastAsia="Times New Roman" w:hAnsi="Times New Roman"/>
          <w:sz w:val="17"/>
          <w:szCs w:val="17"/>
          <w:u w:val="single" w:color="auto"/>
          <w:color w:val="0000FF"/>
        </w:rPr>
      </w:pPr>
    </w:p>
    <w:p>
      <w:pPr>
        <w:ind w:left="1640" w:hanging="636"/>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3.4</w:t>
        </w:r>
      </w:hyperlink>
      <w:r>
        <w:rPr>
          <w:rFonts w:ascii="Times New Roman" w:cs="Times New Roman" w:eastAsia="Times New Roman" w:hAnsi="Times New Roman"/>
          <w:sz w:val="17"/>
          <w:szCs w:val="17"/>
          <w:u w:val="single" w:color="auto"/>
          <w:color w:val="0000FF"/>
        </w:rPr>
        <w:tab/>
      </w:r>
      <w:hyperlink r:id="rId131">
        <w:r>
          <w:rPr>
            <w:rFonts w:ascii="Times New Roman" w:cs="Times New Roman" w:eastAsia="Times New Roman" w:hAnsi="Times New Roman"/>
            <w:sz w:val="17"/>
            <w:szCs w:val="17"/>
            <w:u w:val="single" w:color="auto"/>
            <w:color w:val="0000FF"/>
          </w:rPr>
          <w:t>Certificate of Validation dated September 20, 2022 relating to Certificate of Amendment to the Amended and Restated Certificate of</w:t>
        </w:r>
      </w:hyperlink>
      <w:r>
        <w:rPr>
          <w:rFonts w:ascii="Times New Roman" w:cs="Times New Roman" w:eastAsia="Times New Roman" w:hAnsi="Times New Roman"/>
          <w:sz w:val="17"/>
          <w:szCs w:val="17"/>
          <w:u w:val="single" w:color="auto"/>
          <w:color w:val="0000FF"/>
        </w:rPr>
        <w:t xml:space="preserve"> </w:t>
      </w:r>
      <w:hyperlink r:id="rId131">
        <w:r>
          <w:rPr>
            <w:rFonts w:ascii="Times New Roman" w:cs="Times New Roman" w:eastAsia="Times New Roman" w:hAnsi="Times New Roman"/>
            <w:sz w:val="17"/>
            <w:szCs w:val="17"/>
            <w:u w:val="single" w:color="auto"/>
            <w:color w:val="0000FF"/>
          </w:rPr>
          <w:t>Incorporation of the Registrant dated May 26, 2022 (incorporated by reference to Exhibit 3.3 to the Registrant’s Quarterly Report on Form</w:t>
        </w:r>
      </w:hyperlink>
    </w:p>
    <w:p>
      <w:pPr>
        <w:ind w:left="1640"/>
        <w:spacing w:after="0"/>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10-Q, File No. 001-35986, filed on November 1, 2022)</w:t>
        </w:r>
      </w:hyperlink>
    </w:p>
    <w:p>
      <w:pPr>
        <w:spacing w:after="0" w:line="10" w:lineRule="exact"/>
        <w:rPr>
          <w:rFonts w:ascii="Times New Roman" w:cs="Times New Roman" w:eastAsia="Times New Roman" w:hAnsi="Times New Roman"/>
          <w:sz w:val="17"/>
          <w:szCs w:val="17"/>
          <w:u w:val="single" w:color="auto"/>
          <w:color w:val="0000FF"/>
        </w:rPr>
      </w:pPr>
    </w:p>
    <w:p>
      <w:pPr>
        <w:ind w:left="1640" w:right="40" w:hanging="636"/>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7"/>
            <w:szCs w:val="17"/>
            <w:u w:val="single" w:color="auto"/>
            <w:color w:val="0000FF"/>
          </w:rPr>
          <w:t>3.5</w:t>
        </w:r>
      </w:hyperlink>
      <w:r>
        <w:rPr>
          <w:rFonts w:ascii="Times New Roman" w:cs="Times New Roman" w:eastAsia="Times New Roman" w:hAnsi="Times New Roman"/>
          <w:sz w:val="17"/>
          <w:szCs w:val="17"/>
          <w:u w:val="single" w:color="auto"/>
          <w:color w:val="0000FF"/>
        </w:rPr>
        <w:tab/>
      </w:r>
      <w:hyperlink r:id="rId132">
        <w:r>
          <w:rPr>
            <w:rFonts w:ascii="Times New Roman" w:cs="Times New Roman" w:eastAsia="Times New Roman" w:hAnsi="Times New Roman"/>
            <w:sz w:val="17"/>
            <w:szCs w:val="17"/>
            <w:u w:val="single" w:color="auto"/>
            <w:color w:val="0000FF"/>
          </w:rPr>
          <w:t>Second Amended and Restated Bylaws of the Registrant dated April 29, 2021 (incorporated by reference to Exhibit 3.1 to the Registrant’s</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Quarterly Report on Form 10-Q, File No. 001-35986, filed on May 4, 2021)</w:t>
        </w:r>
      </w:hyperlink>
    </w:p>
    <w:p>
      <w:pPr>
        <w:spacing w:after="0" w:line="11" w:lineRule="exact"/>
        <w:rPr>
          <w:rFonts w:ascii="Times New Roman" w:cs="Times New Roman" w:eastAsia="Times New Roman" w:hAnsi="Times New Roman"/>
          <w:sz w:val="17"/>
          <w:szCs w:val="17"/>
          <w:u w:val="single" w:color="auto"/>
          <w:color w:val="0000FF"/>
        </w:rPr>
      </w:pPr>
    </w:p>
    <w:p>
      <w:pPr>
        <w:ind w:left="1640" w:right="200" w:hanging="636"/>
        <w:spacing w:after="0"/>
        <w:tabs>
          <w:tab w:leader="none" w:pos="1620" w:val="left"/>
        </w:tabs>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4.1</w:t>
        </w:r>
      </w:hyperlink>
      <w:r>
        <w:rPr>
          <w:rFonts w:ascii="Times New Roman" w:cs="Times New Roman" w:eastAsia="Times New Roman" w:hAnsi="Times New Roman"/>
          <w:sz w:val="17"/>
          <w:szCs w:val="17"/>
          <w:u w:val="single" w:color="auto"/>
          <w:color w:val="0000FF"/>
        </w:rPr>
        <w:tab/>
      </w:r>
      <w:hyperlink r:id="rId133">
        <w:r>
          <w:rPr>
            <w:rFonts w:ascii="Times New Roman" w:cs="Times New Roman" w:eastAsia="Times New Roman" w:hAnsi="Times New Roman"/>
            <w:sz w:val="17"/>
            <w:szCs w:val="17"/>
            <w:u w:val="single" w:color="auto"/>
            <w:color w:val="0000FF"/>
          </w:rPr>
          <w:t>Specimen Common Stock Certificate (incorporated by reference to Exhibit 4.1 to the Registrant’s Amendment No. 2 to the Registration</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Statement on Form S-1, File No. 333-188595, filed on June 12, 2013)</w:t>
        </w:r>
      </w:hyperlink>
    </w:p>
    <w:p>
      <w:pPr>
        <w:spacing w:after="0" w:line="10" w:lineRule="exact"/>
        <w:rPr>
          <w:rFonts w:ascii="Times New Roman" w:cs="Times New Roman" w:eastAsia="Times New Roman" w:hAnsi="Times New Roman"/>
          <w:sz w:val="17"/>
          <w:szCs w:val="17"/>
          <w:u w:val="single" w:color="auto"/>
          <w:color w:val="0000FF"/>
        </w:rPr>
      </w:pPr>
    </w:p>
    <w:p>
      <w:pPr>
        <w:ind w:left="1640" w:right="120" w:hanging="636"/>
        <w:spacing w:after="0"/>
        <w:tabs>
          <w:tab w:leader="none" w:pos="1620" w:val="left"/>
        </w:tabs>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4.2</w:t>
        </w:r>
      </w:hyperlink>
      <w:r>
        <w:rPr>
          <w:rFonts w:ascii="Times New Roman" w:cs="Times New Roman" w:eastAsia="Times New Roman" w:hAnsi="Times New Roman"/>
          <w:sz w:val="17"/>
          <w:szCs w:val="17"/>
          <w:u w:val="single" w:color="auto"/>
          <w:color w:val="0000FF"/>
        </w:rPr>
        <w:tab/>
      </w:r>
      <w:hyperlink r:id="rId134">
        <w:r>
          <w:rPr>
            <w:rFonts w:ascii="Times New Roman" w:cs="Times New Roman" w:eastAsia="Times New Roman" w:hAnsi="Times New Roman"/>
            <w:sz w:val="17"/>
            <w:szCs w:val="17"/>
            <w:u w:val="single" w:color="auto"/>
            <w:color w:val="0000FF"/>
          </w:rPr>
          <w:t>Investor Rights Agreement by and between the Registrant and certain of its stockholders dated April 28, 2008 (incorporated by reference</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to Exhibit 4.4 to the Registrant’s Registration Statement on Form S-1, File No. 333-188595, filed on May 14, 2013)</w:t>
        </w:r>
      </w:hyperlink>
    </w:p>
    <w:p>
      <w:pPr>
        <w:spacing w:after="0" w:line="10" w:lineRule="exact"/>
        <w:rPr>
          <w:rFonts w:ascii="Times New Roman" w:cs="Times New Roman" w:eastAsia="Times New Roman" w:hAnsi="Times New Roman"/>
          <w:sz w:val="17"/>
          <w:szCs w:val="17"/>
          <w:u w:val="single" w:color="auto"/>
          <w:color w:val="0000FF"/>
        </w:rPr>
      </w:pPr>
    </w:p>
    <w:p>
      <w:pPr>
        <w:ind w:left="1640" w:right="160" w:hanging="636"/>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4.3</w:t>
        </w:r>
      </w:hyperlink>
      <w:r>
        <w:rPr>
          <w:rFonts w:ascii="Times New Roman" w:cs="Times New Roman" w:eastAsia="Times New Roman" w:hAnsi="Times New Roman"/>
          <w:sz w:val="17"/>
          <w:szCs w:val="17"/>
          <w:u w:val="single" w:color="auto"/>
          <w:color w:val="0000FF"/>
        </w:rPr>
        <w:tab/>
      </w:r>
      <w:hyperlink r:id="rId135">
        <w:r>
          <w:rPr>
            <w:rFonts w:ascii="Times New Roman" w:cs="Times New Roman" w:eastAsia="Times New Roman" w:hAnsi="Times New Roman"/>
            <w:sz w:val="17"/>
            <w:szCs w:val="17"/>
            <w:u w:val="single" w:color="auto"/>
            <w:color w:val="0000FF"/>
          </w:rPr>
          <w:t>Amendment No. 1 to Investor Rights Agreement by and between the Registrant and certain of its stockholders dated April 11, 2013</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(incorporated by reference to Exhibit 4.5 to the Registrant’s Registration Statement on Form S-1, File No. 333-188595, filed on May 14,</w:t>
        </w:r>
      </w:hyperlink>
    </w:p>
    <w:p>
      <w:pPr>
        <w:ind w:left="1640"/>
        <w:spacing w:after="0"/>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2013)</w:t>
        </w:r>
      </w:hyperlink>
    </w:p>
    <w:p>
      <w:pPr>
        <w:ind w:left="1020"/>
        <w:spacing w:after="0" w:line="235" w:lineRule="auto"/>
        <w:tabs>
          <w:tab w:leader="none" w:pos="1620" w:val="left"/>
        </w:tabs>
        <w:rPr>
          <w:rFonts w:ascii="Times New Roman" w:cs="Times New Roman" w:eastAsia="Times New Roman" w:hAnsi="Times New Roman"/>
          <w:sz w:val="17"/>
          <w:szCs w:val="17"/>
          <w:u w:val="single" w:color="auto"/>
          <w:color w:val="0000FF"/>
        </w:rPr>
      </w:pPr>
      <w:hyperlink r:id="rId136">
        <w:r>
          <w:rPr>
            <w:rFonts w:ascii="Times New Roman" w:cs="Times New Roman" w:eastAsia="Times New Roman" w:hAnsi="Times New Roman"/>
            <w:sz w:val="17"/>
            <w:szCs w:val="17"/>
            <w:u w:val="single" w:color="auto"/>
            <w:color w:val="0000FF"/>
          </w:rPr>
          <w:t>4.4</w:t>
        </w:r>
      </w:hyperlink>
      <w:r>
        <w:rPr>
          <w:rFonts w:ascii="Times New Roman" w:cs="Times New Roman" w:eastAsia="Times New Roman" w:hAnsi="Times New Roman"/>
          <w:sz w:val="17"/>
          <w:szCs w:val="17"/>
          <w:u w:val="single" w:color="auto"/>
          <w:color w:val="0000FF"/>
        </w:rPr>
        <w:tab/>
      </w:r>
      <w:hyperlink r:id="rId136">
        <w:r>
          <w:rPr>
            <w:rFonts w:ascii="Times New Roman" w:cs="Times New Roman" w:eastAsia="Times New Roman" w:hAnsi="Times New Roman"/>
            <w:sz w:val="17"/>
            <w:szCs w:val="17"/>
            <w:u w:val="single" w:color="auto"/>
            <w:color w:val="0000FF"/>
          </w:rPr>
          <w:t>Description of Registrant's Securities (incorporated by reference to Exhibit 4.4 to Registrant's Annual Report on Form 10-K, File No. 001-</w:t>
        </w:r>
      </w:hyperlink>
    </w:p>
    <w:p>
      <w:pPr>
        <w:spacing w:after="0" w:line="1" w:lineRule="exact"/>
        <w:rPr>
          <w:sz w:val="20"/>
          <w:szCs w:val="20"/>
          <w:color w:val="auto"/>
        </w:rPr>
      </w:pPr>
    </w:p>
    <w:p>
      <w:pPr>
        <w:ind w:left="1640"/>
        <w:spacing w:after="0"/>
        <w:rPr>
          <w:rFonts w:ascii="Times New Roman" w:cs="Times New Roman" w:eastAsia="Times New Roman" w:hAnsi="Times New Roman"/>
          <w:sz w:val="17"/>
          <w:szCs w:val="17"/>
          <w:u w:val="single" w:color="auto"/>
          <w:color w:val="0000FF"/>
        </w:rPr>
      </w:pPr>
      <w:hyperlink r:id="rId136">
        <w:r>
          <w:rPr>
            <w:rFonts w:ascii="Times New Roman" w:cs="Times New Roman" w:eastAsia="Times New Roman" w:hAnsi="Times New Roman"/>
            <w:sz w:val="17"/>
            <w:szCs w:val="17"/>
            <w:u w:val="single" w:color="auto"/>
            <w:color w:val="0000FF"/>
          </w:rPr>
          <w:t>35986, filed on February 27, 2024)</w:t>
        </w:r>
      </w:hyperlink>
    </w:p>
    <w:p>
      <w:pPr>
        <w:spacing w:after="0" w:line="19" w:lineRule="exact"/>
        <w:rPr>
          <w:sz w:val="20"/>
          <w:szCs w:val="20"/>
          <w:color w:val="auto"/>
        </w:rPr>
      </w:pPr>
    </w:p>
    <w:p>
      <w:pPr>
        <w:ind w:left="1640" w:right="400" w:hanging="636"/>
        <w:spacing w:after="0"/>
        <w:tabs>
          <w:tab w:leader="none" w:pos="1620" w:val="left"/>
        </w:tabs>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7"/>
            <w:szCs w:val="17"/>
            <w:u w:val="single" w:color="auto"/>
            <w:color w:val="0000FF"/>
          </w:rPr>
          <w:t>4.5</w:t>
        </w:r>
      </w:hyperlink>
      <w:r>
        <w:rPr>
          <w:rFonts w:ascii="Times New Roman" w:cs="Times New Roman" w:eastAsia="Times New Roman" w:hAnsi="Times New Roman"/>
          <w:sz w:val="17"/>
          <w:szCs w:val="17"/>
          <w:u w:val="single" w:color="auto"/>
          <w:color w:val="0000FF"/>
        </w:rPr>
        <w:tab/>
      </w:r>
      <w:hyperlink r:id="rId137">
        <w:r>
          <w:rPr>
            <w:rFonts w:ascii="Times New Roman" w:cs="Times New Roman" w:eastAsia="Times New Roman" w:hAnsi="Times New Roman"/>
            <w:sz w:val="17"/>
            <w:szCs w:val="17"/>
            <w:u w:val="single" w:color="auto"/>
            <w:color w:val="0000FF"/>
          </w:rPr>
          <w:t>Indenture, dated as of November 16, 2020, between the Registrant and U.S. Bank National Association (incorporated by reference to</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Exhibit 4.1 to the Registrant’s Current Report on Form 8-K, File No. 001-35986, filed on November 16, 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420" w:hanging="636"/>
        <w:spacing w:after="0"/>
        <w:tabs>
          <w:tab w:leader="none" w:pos="1620" w:val="left"/>
        </w:tabs>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7"/>
            <w:szCs w:val="17"/>
            <w:u w:val="single" w:color="auto"/>
            <w:color w:val="0000FF"/>
          </w:rPr>
          <w:t>4.6</w:t>
        </w:r>
      </w:hyperlink>
      <w:r>
        <w:rPr>
          <w:rFonts w:ascii="Times New Roman" w:cs="Times New Roman" w:eastAsia="Times New Roman" w:hAnsi="Times New Roman"/>
          <w:sz w:val="17"/>
          <w:szCs w:val="17"/>
          <w:u w:val="single" w:color="auto"/>
          <w:color w:val="0000FF"/>
        </w:rPr>
        <w:tab/>
      </w:r>
      <w:hyperlink r:id="rId137">
        <w:r>
          <w:rPr>
            <w:rFonts w:ascii="Times New Roman" w:cs="Times New Roman" w:eastAsia="Times New Roman" w:hAnsi="Times New Roman"/>
            <w:sz w:val="17"/>
            <w:szCs w:val="17"/>
            <w:u w:val="single" w:color="auto"/>
            <w:color w:val="0000FF"/>
          </w:rPr>
          <w:t>Form of 4.00% Convertible Senior Subordinated Note due 2025 (incorporated by reference to Exhibit 4.1 to the Registrant’s Current</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Report on Form 8-K, File No. 001-35986, filed on November 16, 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540" w:hanging="636"/>
        <w:spacing w:after="0"/>
        <w:tabs>
          <w:tab w:leader="none" w:pos="1620" w:val="left"/>
        </w:tabs>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4.7</w:t>
        </w:r>
      </w:hyperlink>
      <w:r>
        <w:rPr>
          <w:rFonts w:ascii="Times New Roman" w:cs="Times New Roman" w:eastAsia="Times New Roman" w:hAnsi="Times New Roman"/>
          <w:sz w:val="17"/>
          <w:szCs w:val="17"/>
          <w:u w:val="single" w:color="auto"/>
          <w:color w:val="0000FF"/>
        </w:rPr>
        <w:tab/>
      </w:r>
      <w:hyperlink r:id="rId138">
        <w:r>
          <w:rPr>
            <w:rFonts w:ascii="Times New Roman" w:cs="Times New Roman" w:eastAsia="Times New Roman" w:hAnsi="Times New Roman"/>
            <w:sz w:val="17"/>
            <w:szCs w:val="17"/>
            <w:u w:val="single" w:color="auto"/>
            <w:color w:val="0000FF"/>
          </w:rPr>
          <w:t>Form of Warrant to Purchase Preferred Stock dated September 4, 2012 (incorporated by reference to Exhibit 4.3 to the Registrant’s</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Registration Statement on Form S-1, as amended (File No. 333-188595) filed on May 14, 2013).</w:t>
        </w:r>
      </w:hyperlink>
    </w:p>
    <w:p>
      <w:pPr>
        <w:spacing w:after="0" w:line="10" w:lineRule="exact"/>
        <w:rPr>
          <w:rFonts w:ascii="Times New Roman" w:cs="Times New Roman" w:eastAsia="Times New Roman" w:hAnsi="Times New Roman"/>
          <w:sz w:val="17"/>
          <w:szCs w:val="17"/>
          <w:u w:val="single" w:color="auto"/>
          <w:color w:val="0000FF"/>
        </w:rPr>
      </w:pPr>
    </w:p>
    <w:p>
      <w:pPr>
        <w:ind w:left="1640" w:right="180" w:hanging="636"/>
        <w:spacing w:after="0"/>
        <w:tabs>
          <w:tab w:leader="none" w:pos="1620" w:val="left"/>
        </w:tabs>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7"/>
            <w:szCs w:val="17"/>
            <w:u w:val="single" w:color="auto"/>
            <w:color w:val="0000FF"/>
          </w:rPr>
          <w:t>4.8</w:t>
        </w:r>
      </w:hyperlink>
      <w:r>
        <w:rPr>
          <w:rFonts w:ascii="Times New Roman" w:cs="Times New Roman" w:eastAsia="Times New Roman" w:hAnsi="Times New Roman"/>
          <w:sz w:val="17"/>
          <w:szCs w:val="17"/>
          <w:u w:val="single" w:color="auto"/>
          <w:color w:val="0000FF"/>
        </w:rPr>
        <w:tab/>
      </w:r>
      <w:hyperlink r:id="rId139">
        <w:r>
          <w:rPr>
            <w:rFonts w:ascii="Times New Roman" w:cs="Times New Roman" w:eastAsia="Times New Roman" w:hAnsi="Times New Roman"/>
            <w:sz w:val="17"/>
            <w:szCs w:val="17"/>
            <w:u w:val="single" w:color="auto"/>
            <w:color w:val="0000FF"/>
          </w:rPr>
          <w:t>Form of Warrant Amendment Agreement (incorporated by reference to Exhibit 10.2 to the Registrant’s Quarterly Report on Form 10-Q,</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File No. 001-35986, filed on May 9, 2023)</w:t>
        </w:r>
      </w:hyperlink>
    </w:p>
    <w:p>
      <w:pPr>
        <w:spacing w:after="0" w:line="10" w:lineRule="exact"/>
        <w:rPr>
          <w:rFonts w:ascii="Times New Roman" w:cs="Times New Roman" w:eastAsia="Times New Roman" w:hAnsi="Times New Roman"/>
          <w:sz w:val="17"/>
          <w:szCs w:val="17"/>
          <w:u w:val="single" w:color="auto"/>
          <w:color w:val="0000FF"/>
        </w:rPr>
      </w:pPr>
    </w:p>
    <w:p>
      <w:pPr>
        <w:ind w:left="1640" w:right="240" w:hanging="636"/>
        <w:spacing w:after="0"/>
        <w:tabs>
          <w:tab w:leader="none" w:pos="1620" w:val="left"/>
        </w:tabs>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4.9</w:t>
        </w:r>
      </w:hyperlink>
      <w:r>
        <w:rPr>
          <w:rFonts w:ascii="Times New Roman" w:cs="Times New Roman" w:eastAsia="Times New Roman" w:hAnsi="Times New Roman"/>
          <w:sz w:val="17"/>
          <w:szCs w:val="17"/>
          <w:u w:val="single" w:color="auto"/>
          <w:color w:val="0000FF"/>
        </w:rPr>
        <w:tab/>
      </w:r>
      <w:hyperlink r:id="rId140">
        <w:r>
          <w:rPr>
            <w:rFonts w:ascii="Times New Roman" w:cs="Times New Roman" w:eastAsia="Times New Roman" w:hAnsi="Times New Roman"/>
            <w:sz w:val="17"/>
            <w:szCs w:val="17"/>
            <w:u w:val="single" w:color="auto"/>
            <w:color w:val="0000FF"/>
          </w:rPr>
          <w:t>Securities Purchase Agreement by and among the Registrant and the Purchasers named therein, dated March 19, 2023 (incorporated by</w:t>
        </w:r>
      </w:hyperlink>
      <w:r>
        <w:rPr>
          <w:rFonts w:ascii="Times New Roman" w:cs="Times New Roman" w:eastAsia="Times New Roman" w:hAnsi="Times New Roman"/>
          <w:sz w:val="17"/>
          <w:szCs w:val="17"/>
          <w:u w:val="single" w:color="auto"/>
          <w:color w:val="0000FF"/>
        </w:rPr>
        <w:t xml:space="preserve"> </w:t>
      </w:r>
      <w:hyperlink r:id="rId140">
        <w:r>
          <w:rPr>
            <w:rFonts w:ascii="Times New Roman" w:cs="Times New Roman" w:eastAsia="Times New Roman" w:hAnsi="Times New Roman"/>
            <w:sz w:val="17"/>
            <w:szCs w:val="17"/>
            <w:u w:val="single" w:color="auto"/>
            <w:color w:val="0000FF"/>
          </w:rPr>
          <w:t>reference to Exhibit 10.1 to the Registrant’s Quarterly Report on Form 10-Q, File No. 001-35986, filed on May 9, 2023)</w:t>
        </w:r>
      </w:hyperlink>
    </w:p>
    <w:p>
      <w:pPr>
        <w:spacing w:after="0" w:line="10" w:lineRule="exact"/>
        <w:rPr>
          <w:rFonts w:ascii="Times New Roman" w:cs="Times New Roman" w:eastAsia="Times New Roman" w:hAnsi="Times New Roman"/>
          <w:sz w:val="17"/>
          <w:szCs w:val="17"/>
          <w:u w:val="single" w:color="auto"/>
          <w:color w:val="0000FF"/>
        </w:rPr>
      </w:pPr>
    </w:p>
    <w:p>
      <w:pPr>
        <w:ind w:left="1640" w:right="360" w:hanging="722"/>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4.10</w:t>
        </w:r>
      </w:hyperlink>
      <w:r>
        <w:rPr>
          <w:rFonts w:ascii="Times New Roman" w:cs="Times New Roman" w:eastAsia="Times New Roman" w:hAnsi="Times New Roman"/>
          <w:sz w:val="17"/>
          <w:szCs w:val="17"/>
          <w:u w:val="single" w:color="auto"/>
          <w:color w:val="0000FF"/>
        </w:rPr>
        <w:tab/>
      </w:r>
      <w:hyperlink r:id="rId141">
        <w:r>
          <w:rPr>
            <w:rFonts w:ascii="Times New Roman" w:cs="Times New Roman" w:eastAsia="Times New Roman" w:hAnsi="Times New Roman"/>
            <w:sz w:val="17"/>
            <w:szCs w:val="17"/>
            <w:u w:val="single" w:color="auto"/>
            <w:color w:val="0000FF"/>
          </w:rPr>
          <w:t>Indenture, dated as of December 17, 2024, between the Registrant and U.S. Bank Trust Company, National Association, as Trustee</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(incorporated by reference to Exhibit 4.1 to the Registrant’s Current Report on Form 8-K, File No. 001-35986, filed on December 18,</w:t>
        </w:r>
      </w:hyperlink>
    </w:p>
    <w:p>
      <w:pPr>
        <w:ind w:left="1640"/>
        <w:spacing w:after="0"/>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2024)</w:t>
        </w:r>
      </w:hyperlink>
    </w:p>
    <w:p>
      <w:pPr>
        <w:spacing w:after="0" w:line="10" w:lineRule="exact"/>
        <w:rPr>
          <w:rFonts w:ascii="Times New Roman" w:cs="Times New Roman" w:eastAsia="Times New Roman" w:hAnsi="Times New Roman"/>
          <w:sz w:val="17"/>
          <w:szCs w:val="17"/>
          <w:u w:val="single" w:color="auto"/>
          <w:color w:val="0000FF"/>
        </w:rPr>
      </w:pPr>
    </w:p>
    <w:p>
      <w:pPr>
        <w:ind w:left="1640" w:right="420" w:hanging="716"/>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4.11</w:t>
        </w:r>
      </w:hyperlink>
      <w:r>
        <w:rPr>
          <w:rFonts w:ascii="Times New Roman" w:cs="Times New Roman" w:eastAsia="Times New Roman" w:hAnsi="Times New Roman"/>
          <w:sz w:val="17"/>
          <w:szCs w:val="17"/>
          <w:u w:val="single" w:color="auto"/>
          <w:color w:val="0000FF"/>
        </w:rPr>
        <w:tab/>
      </w:r>
      <w:hyperlink r:id="rId141">
        <w:r>
          <w:rPr>
            <w:rFonts w:ascii="Times New Roman" w:cs="Times New Roman" w:eastAsia="Times New Roman" w:hAnsi="Times New Roman"/>
            <w:sz w:val="17"/>
            <w:szCs w:val="17"/>
            <w:u w:val="single" w:color="auto"/>
            <w:color w:val="0000FF"/>
          </w:rPr>
          <w:t>Form of 5.75% Convertible Senior Subordinated Note due 2030 (incorporated by reference to Exhibit 4.1 to the Registrant’s Current</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Report on Form 8-K, File No. 001-35986, filed on December 18, 2024)</w:t>
        </w:r>
      </w:hyperlink>
    </w:p>
    <w:p>
      <w:pPr>
        <w:spacing w:after="0" w:line="11" w:lineRule="exact"/>
        <w:rPr>
          <w:rFonts w:ascii="Times New Roman" w:cs="Times New Roman" w:eastAsia="Times New Roman" w:hAnsi="Times New Roman"/>
          <w:sz w:val="17"/>
          <w:szCs w:val="17"/>
          <w:u w:val="single" w:color="auto"/>
          <w:color w:val="0000FF"/>
        </w:rPr>
      </w:pPr>
    </w:p>
    <w:p>
      <w:pPr>
        <w:ind w:left="1640" w:right="100" w:hanging="722"/>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4.12</w:t>
        </w:r>
      </w:hyperlink>
      <w:r>
        <w:rPr>
          <w:rFonts w:ascii="Times New Roman" w:cs="Times New Roman" w:eastAsia="Times New Roman" w:hAnsi="Times New Roman"/>
          <w:sz w:val="17"/>
          <w:szCs w:val="17"/>
          <w:u w:val="single" w:color="auto"/>
          <w:color w:val="0000FF"/>
        </w:rPr>
        <w:tab/>
      </w:r>
      <w:hyperlink r:id="rId142">
        <w:r>
          <w:rPr>
            <w:rFonts w:ascii="Times New Roman" w:cs="Times New Roman" w:eastAsia="Times New Roman" w:hAnsi="Times New Roman"/>
            <w:sz w:val="17"/>
            <w:szCs w:val="17"/>
            <w:u w:val="single" w:color="auto"/>
            <w:color w:val="0000FF"/>
          </w:rPr>
          <w:t>First Supplemental Indenture, dated as of January 27, 2025, between the Registrant and U.S. Bank Trust Company, National Association,</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as Trustee (incorporated by reference to Exhibit 10.1 to the Registrant’s Quarterly Report on Form 10-Q, File No. 001-35986, filed on</w:t>
        </w:r>
      </w:hyperlink>
    </w:p>
    <w:p>
      <w:pPr>
        <w:ind w:left="1640"/>
        <w:spacing w:after="0"/>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May 8, 2025)</w:t>
        </w:r>
      </w:hyperlink>
    </w:p>
    <w:p>
      <w:pPr>
        <w:spacing w:after="0" w:line="10" w:lineRule="exact"/>
        <w:rPr>
          <w:rFonts w:ascii="Times New Roman" w:cs="Times New Roman" w:eastAsia="Times New Roman" w:hAnsi="Times New Roman"/>
          <w:sz w:val="17"/>
          <w:szCs w:val="17"/>
          <w:u w:val="single" w:color="auto"/>
          <w:color w:val="0000FF"/>
        </w:rPr>
      </w:pPr>
    </w:p>
    <w:p>
      <w:pPr>
        <w:ind w:left="1640" w:right="300" w:hanging="808"/>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43">
        <w:r>
          <w:rPr>
            <w:rFonts w:ascii="Times New Roman" w:cs="Times New Roman" w:eastAsia="Times New Roman" w:hAnsi="Times New Roman"/>
            <w:sz w:val="17"/>
            <w:szCs w:val="17"/>
            <w:u w:val="single" w:color="auto"/>
            <w:color w:val="0000FF"/>
          </w:rPr>
          <w:t>10.1*</w:t>
        </w:r>
      </w:hyperlink>
      <w:r>
        <w:rPr>
          <w:rFonts w:ascii="Times New Roman" w:cs="Times New Roman" w:eastAsia="Times New Roman" w:hAnsi="Times New Roman"/>
          <w:sz w:val="17"/>
          <w:szCs w:val="17"/>
          <w:u w:val="single" w:color="auto"/>
          <w:color w:val="0000FF"/>
        </w:rPr>
        <w:tab/>
      </w:r>
      <w:hyperlink r:id="rId143">
        <w:r>
          <w:rPr>
            <w:rFonts w:ascii="Times New Roman" w:cs="Times New Roman" w:eastAsia="Times New Roman" w:hAnsi="Times New Roman"/>
            <w:sz w:val="17"/>
            <w:szCs w:val="17"/>
            <w:u w:val="single" w:color="auto"/>
            <w:color w:val="0000FF"/>
          </w:rPr>
          <w:t>License Agreement between Pfizer Inc. and the Registrant dated April 28, 2008 and amended on November 17, 2010 (incorporated by</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reference to Exhibit 10.7 to the Registrant’s Registration Statement on Form S-1, File No. 333-188595, filed on May 14, 2013)</w:t>
        </w:r>
      </w:hyperlink>
    </w:p>
    <w:p>
      <w:pPr>
        <w:spacing w:after="0" w:line="11" w:lineRule="exact"/>
        <w:rPr>
          <w:rFonts w:ascii="Times New Roman" w:cs="Times New Roman" w:eastAsia="Times New Roman" w:hAnsi="Times New Roman"/>
          <w:sz w:val="17"/>
          <w:szCs w:val="17"/>
          <w:u w:val="single" w:color="auto"/>
          <w:color w:val="0000FF"/>
        </w:rPr>
      </w:pPr>
    </w:p>
    <w:p>
      <w:pPr>
        <w:ind w:left="1640" w:right="360" w:hanging="722"/>
        <w:spacing w:after="0"/>
        <w:tabs>
          <w:tab w:leader="none" w:pos="1620" w:val="left"/>
        </w:tabs>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10.2</w:t>
        </w:r>
      </w:hyperlink>
      <w:r>
        <w:rPr>
          <w:rFonts w:ascii="Times New Roman" w:cs="Times New Roman" w:eastAsia="Times New Roman" w:hAnsi="Times New Roman"/>
          <w:sz w:val="17"/>
          <w:szCs w:val="17"/>
          <w:u w:val="single" w:color="auto"/>
          <w:color w:val="0000FF"/>
        </w:rPr>
        <w:tab/>
      </w:r>
      <w:hyperlink r:id="rId144">
        <w:r>
          <w:rPr>
            <w:rFonts w:ascii="Times New Roman" w:cs="Times New Roman" w:eastAsia="Times New Roman" w:hAnsi="Times New Roman"/>
            <w:sz w:val="17"/>
            <w:szCs w:val="17"/>
            <w:u w:val="single" w:color="auto"/>
            <w:color w:val="0000FF"/>
          </w:rPr>
          <w:t>Valley Ranch Business Park Lease by and between the Registrant and McMullen SPE, LLC, dated February 4, 2014 (incorporated by</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reference to Exhibit 10.1 to the Registrant’s Current Report on Form 8-K, File No. 001-35986, filed on February 7, 2014)</w:t>
        </w:r>
      </w:hyperlink>
    </w:p>
    <w:p>
      <w:pPr>
        <w:spacing w:after="0" w:line="10" w:lineRule="exact"/>
        <w:rPr>
          <w:rFonts w:ascii="Times New Roman" w:cs="Times New Roman" w:eastAsia="Times New Roman" w:hAnsi="Times New Roman"/>
          <w:sz w:val="17"/>
          <w:szCs w:val="17"/>
          <w:u w:val="single" w:color="auto"/>
          <w:color w:val="0000FF"/>
        </w:rPr>
      </w:pPr>
    </w:p>
    <w:p>
      <w:pPr>
        <w:ind w:left="1640" w:right="20" w:hanging="722"/>
        <w:spacing w:after="0"/>
        <w:tabs>
          <w:tab w:leader="none" w:pos="1620" w:val="left"/>
        </w:tabs>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10.3</w:t>
        </w:r>
      </w:hyperlink>
      <w:r>
        <w:rPr>
          <w:rFonts w:ascii="Times New Roman" w:cs="Times New Roman" w:eastAsia="Times New Roman" w:hAnsi="Times New Roman"/>
          <w:sz w:val="17"/>
          <w:szCs w:val="17"/>
          <w:u w:val="single" w:color="auto"/>
          <w:color w:val="0000FF"/>
        </w:rPr>
        <w:tab/>
      </w:r>
      <w:hyperlink r:id="rId145">
        <w:r>
          <w:rPr>
            <w:rFonts w:ascii="Times New Roman" w:cs="Times New Roman" w:eastAsia="Times New Roman" w:hAnsi="Times New Roman"/>
            <w:sz w:val="17"/>
            <w:szCs w:val="17"/>
            <w:u w:val="single" w:color="auto"/>
            <w:color w:val="0000FF"/>
          </w:rPr>
          <w:t>Form of Officer Indemnification Agreement entered into between the Registrant and its officers (incorporated by reference to Exhibit 10.8</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to the Registrant’s Registration Statement on Form S-1, File No. 333-188595, filed on May 14, 2013)</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17" w:lineRule="exact"/>
        <w:rPr>
          <w:rFonts w:ascii="Times New Roman" w:cs="Times New Roman" w:eastAsia="Times New Roman" w:hAnsi="Times New Roman"/>
          <w:sz w:val="17"/>
          <w:szCs w:val="17"/>
          <w:u w:val="single" w:color="auto"/>
          <w:color w:val="0000FF"/>
        </w:rPr>
      </w:pPr>
    </w:p>
    <w:p>
      <w:pPr>
        <w:jc w:val="center"/>
        <w:ind w:right="-5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40" w:right="740" w:hanging="722"/>
        <w:spacing w:after="0"/>
        <w:tabs>
          <w:tab w:leader="none" w:pos="1620" w:val="left"/>
        </w:tabs>
        <w:rPr>
          <w:rFonts w:ascii="Times New Roman" w:cs="Times New Roman" w:eastAsia="Times New Roman" w:hAnsi="Times New Roman"/>
          <w:sz w:val="17"/>
          <w:szCs w:val="17"/>
          <w:u w:val="single" w:color="auto"/>
          <w:color w:val="0000FF"/>
        </w:rPr>
      </w:pPr>
      <w:hyperlink r:id="rId147">
        <w:r>
          <w:rPr>
            <w:rFonts w:ascii="Times New Roman" w:cs="Times New Roman" w:eastAsia="Times New Roman" w:hAnsi="Times New Roman"/>
            <w:sz w:val="17"/>
            <w:szCs w:val="17"/>
            <w:u w:val="single" w:color="auto"/>
            <w:color w:val="0000FF"/>
          </w:rPr>
          <w:t>10.4</w:t>
        </w:r>
      </w:hyperlink>
      <w:r>
        <w:rPr>
          <w:rFonts w:ascii="Times New Roman" w:cs="Times New Roman" w:eastAsia="Times New Roman" w:hAnsi="Times New Roman"/>
          <w:sz w:val="17"/>
          <w:szCs w:val="17"/>
          <w:u w:val="single" w:color="auto"/>
          <w:color w:val="0000FF"/>
        </w:rPr>
        <w:tab/>
      </w:r>
      <w:hyperlink r:id="rId147">
        <w:r>
          <w:rPr>
            <w:rFonts w:ascii="Times New Roman" w:cs="Times New Roman" w:eastAsia="Times New Roman" w:hAnsi="Times New Roman"/>
            <w:sz w:val="17"/>
            <w:szCs w:val="17"/>
            <w:u w:val="single" w:color="auto"/>
            <w:color w:val="0000FF"/>
          </w:rPr>
          <w:t>Form of Director Indemnification Agreement entered into between the Registrant and its directors (incorporated by reference to</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Exhibit 10.9 to the Registrant’s Registration Statement on Form S-1, File No. 333-188595, filed on May 14, 2013)</w:t>
        </w:r>
      </w:hyperlink>
    </w:p>
    <w:p>
      <w:pPr>
        <w:spacing w:after="0" w:line="10" w:lineRule="exact"/>
        <w:rPr>
          <w:rFonts w:ascii="Times New Roman" w:cs="Times New Roman" w:eastAsia="Times New Roman" w:hAnsi="Times New Roman"/>
          <w:sz w:val="17"/>
          <w:szCs w:val="17"/>
          <w:u w:val="single" w:color="auto"/>
          <w:color w:val="0000FF"/>
        </w:rPr>
      </w:pPr>
    </w:p>
    <w:p>
      <w:pPr>
        <w:ind w:left="1640" w:right="680" w:hanging="808"/>
        <w:spacing w:after="0"/>
        <w:tabs>
          <w:tab w:leader="none" w:pos="1620" w:val="left"/>
        </w:tabs>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10.5#</w:t>
        </w:r>
      </w:hyperlink>
      <w:r>
        <w:rPr>
          <w:rFonts w:ascii="Times New Roman" w:cs="Times New Roman" w:eastAsia="Times New Roman" w:hAnsi="Times New Roman"/>
          <w:sz w:val="17"/>
          <w:szCs w:val="17"/>
          <w:u w:val="single" w:color="auto"/>
          <w:color w:val="0000FF"/>
        </w:rPr>
        <w:tab/>
      </w:r>
      <w:hyperlink r:id="rId148">
        <w:r>
          <w:rPr>
            <w:rFonts w:ascii="Times New Roman" w:cs="Times New Roman" w:eastAsia="Times New Roman" w:hAnsi="Times New Roman"/>
            <w:sz w:val="17"/>
            <w:szCs w:val="17"/>
            <w:u w:val="single" w:color="auto"/>
            <w:color w:val="0000FF"/>
          </w:rPr>
          <w:t>Amended and Restated 2013 Stock Option and Incentive Plan and forms of agreements thereunder (incorporated by reference to</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Exhibit 10.1 of the Registrant’s Quarterly Report on Form 10-Q, File No. 001-35986, filed on November 3, 2016)</w:t>
        </w:r>
      </w:hyperlink>
    </w:p>
    <w:p>
      <w:pPr>
        <w:spacing w:after="0" w:line="10" w:lineRule="exact"/>
        <w:rPr>
          <w:rFonts w:ascii="Times New Roman" w:cs="Times New Roman" w:eastAsia="Times New Roman" w:hAnsi="Times New Roman"/>
          <w:sz w:val="17"/>
          <w:szCs w:val="17"/>
          <w:u w:val="single" w:color="auto"/>
          <w:color w:val="0000FF"/>
        </w:rPr>
      </w:pPr>
    </w:p>
    <w:p>
      <w:pPr>
        <w:ind w:left="1640" w:right="380" w:hanging="808"/>
        <w:spacing w:after="0"/>
        <w:tabs>
          <w:tab w:leader="none" w:pos="1620" w:val="left"/>
        </w:tabs>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10.6#</w:t>
        </w:r>
      </w:hyperlink>
      <w:r>
        <w:rPr>
          <w:rFonts w:ascii="Times New Roman" w:cs="Times New Roman" w:eastAsia="Times New Roman" w:hAnsi="Times New Roman"/>
          <w:sz w:val="17"/>
          <w:szCs w:val="17"/>
          <w:u w:val="single" w:color="auto"/>
          <w:color w:val="0000FF"/>
        </w:rPr>
        <w:tab/>
      </w:r>
      <w:hyperlink r:id="rId149">
        <w:r>
          <w:rPr>
            <w:rFonts w:ascii="Times New Roman" w:cs="Times New Roman" w:eastAsia="Times New Roman" w:hAnsi="Times New Roman"/>
            <w:sz w:val="17"/>
            <w:szCs w:val="17"/>
            <w:u w:val="single" w:color="auto"/>
            <w:color w:val="0000FF"/>
          </w:rPr>
          <w:t>2017 Inducement Equity Plan and form of award agreement thereunder (incorporated by reference to Exhibit 99.1 to the Registrant’s</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Registration Statement on Form S-8, File No. 333-218084, filed on May 18, 2017).</w:t>
        </w:r>
      </w:hyperlink>
    </w:p>
    <w:p>
      <w:pPr>
        <w:spacing w:after="0" w:line="10" w:lineRule="exact"/>
        <w:rPr>
          <w:rFonts w:ascii="Times New Roman" w:cs="Times New Roman" w:eastAsia="Times New Roman" w:hAnsi="Times New Roman"/>
          <w:sz w:val="17"/>
          <w:szCs w:val="17"/>
          <w:u w:val="single" w:color="auto"/>
          <w:color w:val="0000FF"/>
        </w:rPr>
      </w:pPr>
    </w:p>
    <w:p>
      <w:pPr>
        <w:ind w:left="1640" w:right="320" w:hanging="722"/>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10.7</w:t>
        </w:r>
      </w:hyperlink>
      <w:r>
        <w:rPr>
          <w:rFonts w:ascii="Times New Roman" w:cs="Times New Roman" w:eastAsia="Times New Roman" w:hAnsi="Times New Roman"/>
          <w:sz w:val="17"/>
          <w:szCs w:val="17"/>
          <w:u w:val="single" w:color="auto"/>
          <w:color w:val="0000FF"/>
        </w:rPr>
        <w:tab/>
      </w:r>
      <w:hyperlink r:id="rId150">
        <w:r>
          <w:rPr>
            <w:rFonts w:ascii="Times New Roman" w:cs="Times New Roman" w:eastAsia="Times New Roman" w:hAnsi="Times New Roman"/>
            <w:sz w:val="17"/>
            <w:szCs w:val="17"/>
            <w:u w:val="single" w:color="auto"/>
            <w:color w:val="0000FF"/>
          </w:rPr>
          <w:t>First Amendment to Valley Ranch Business Park Lease, dated July 6, 2018, between the Registrant and Blackbird Ann Arbor, LLC</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(incorporated by reference to Exhibit 10.1 to the Registrant’s Quarterly Report on Form 10-Q, File No. 001-35986, filed on August 2,</w:t>
        </w:r>
      </w:hyperlink>
    </w:p>
    <w:p>
      <w:pPr>
        <w:ind w:left="1640"/>
        <w:spacing w:after="0"/>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2018)</w:t>
        </w:r>
      </w:hyperlink>
    </w:p>
    <w:p>
      <w:pPr>
        <w:spacing w:after="0" w:line="10" w:lineRule="exact"/>
        <w:rPr>
          <w:rFonts w:ascii="Times New Roman" w:cs="Times New Roman" w:eastAsia="Times New Roman" w:hAnsi="Times New Roman"/>
          <w:sz w:val="17"/>
          <w:szCs w:val="17"/>
          <w:u w:val="single" w:color="auto"/>
          <w:color w:val="0000FF"/>
        </w:rPr>
      </w:pPr>
    </w:p>
    <w:p>
      <w:pPr>
        <w:ind w:left="1640" w:right="240" w:hanging="808"/>
        <w:spacing w:after="0" w:line="222" w:lineRule="auto"/>
        <w:tabs>
          <w:tab w:leader="none" w:pos="1620" w:val="left"/>
        </w:tabs>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10.8*</w:t>
        </w:r>
      </w:hyperlink>
      <w:r>
        <w:rPr>
          <w:rFonts w:ascii="Times New Roman" w:cs="Times New Roman" w:eastAsia="Times New Roman" w:hAnsi="Times New Roman"/>
          <w:sz w:val="17"/>
          <w:szCs w:val="17"/>
          <w:u w:val="single" w:color="auto"/>
          <w:color w:val="0000FF"/>
        </w:rPr>
        <w:tab/>
      </w:r>
      <w:hyperlink r:id="rId151">
        <w:r>
          <w:rPr>
            <w:rFonts w:ascii="Times New Roman" w:cs="Times New Roman" w:eastAsia="Times New Roman" w:hAnsi="Times New Roman"/>
            <w:sz w:val="17"/>
            <w:szCs w:val="17"/>
            <w:u w:val="single" w:color="auto"/>
            <w:color w:val="0000FF"/>
          </w:rPr>
          <w:t>License and Collaboration Agreement by and between Daiichi Sankyo Europe GmbH and the Registrant, dated as of January 2, 2019</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(incorporated by reference to Exhibit 10.16 to the Registrant's Annual Report on Form 10-K, File No. 001-35986 filed on February 28,</w:t>
        </w:r>
      </w:hyperlink>
    </w:p>
    <w:p>
      <w:pPr>
        <w:spacing w:after="0" w:line="1" w:lineRule="exact"/>
        <w:rPr>
          <w:rFonts w:ascii="Times New Roman" w:cs="Times New Roman" w:eastAsia="Times New Roman" w:hAnsi="Times New Roman"/>
          <w:sz w:val="17"/>
          <w:szCs w:val="17"/>
          <w:u w:val="single" w:color="auto"/>
          <w:color w:val="0000FF"/>
        </w:rPr>
      </w:pPr>
    </w:p>
    <w:p>
      <w:pPr>
        <w:ind w:left="1640"/>
        <w:spacing w:after="0"/>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2019)</w:t>
        </w:r>
      </w:hyperlink>
    </w:p>
    <w:p>
      <w:pPr>
        <w:spacing w:after="0" w:line="10" w:lineRule="exact"/>
        <w:rPr>
          <w:rFonts w:ascii="Times New Roman" w:cs="Times New Roman" w:eastAsia="Times New Roman" w:hAnsi="Times New Roman"/>
          <w:sz w:val="17"/>
          <w:szCs w:val="17"/>
          <w:u w:val="single" w:color="auto"/>
          <w:color w:val="0000FF"/>
        </w:rPr>
      </w:pPr>
    </w:p>
    <w:p>
      <w:pPr>
        <w:ind w:left="840"/>
        <w:spacing w:after="0"/>
        <w:tabs>
          <w:tab w:leader="none" w:pos="1620" w:val="left"/>
        </w:tabs>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10.9#</w:t>
        </w:r>
      </w:hyperlink>
      <w:r>
        <w:rPr>
          <w:rFonts w:ascii="Times New Roman" w:cs="Times New Roman" w:eastAsia="Times New Roman" w:hAnsi="Times New Roman"/>
          <w:sz w:val="17"/>
          <w:szCs w:val="17"/>
          <w:u w:val="single" w:color="auto"/>
          <w:color w:val="0000FF"/>
        </w:rPr>
        <w:tab/>
      </w:r>
      <w:hyperlink r:id="rId152">
        <w:r>
          <w:rPr>
            <w:rFonts w:ascii="Times New Roman" w:cs="Times New Roman" w:eastAsia="Times New Roman" w:hAnsi="Times New Roman"/>
            <w:sz w:val="17"/>
            <w:szCs w:val="17"/>
            <w:u w:val="single" w:color="auto"/>
            <w:color w:val="0000FF"/>
          </w:rPr>
          <w:t>First Amendment to 2017 Inducement Equity Plan (incorporated by reference to Exhibit 10.16 to the Registrant’s Annual Report on Form</w:t>
        </w:r>
      </w:hyperlink>
    </w:p>
    <w:p>
      <w:pPr>
        <w:spacing w:after="0" w:line="25" w:lineRule="exact"/>
        <w:rPr>
          <w:sz w:val="20"/>
          <w:szCs w:val="20"/>
          <w:color w:val="auto"/>
        </w:rPr>
      </w:pPr>
    </w:p>
    <w:p>
      <w:pPr>
        <w:ind w:left="1640"/>
        <w:spacing w:after="0"/>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10-K, File No. 001-35986, filed on February 27, 2020)</w:t>
        </w:r>
      </w:hyperlink>
    </w:p>
    <w:p>
      <w:pPr>
        <w:spacing w:after="0" w:line="32" w:lineRule="exact"/>
        <w:rPr>
          <w:sz w:val="20"/>
          <w:szCs w:val="20"/>
          <w:color w:val="auto"/>
        </w:rPr>
      </w:pPr>
    </w:p>
    <w:p>
      <w:pPr>
        <w:ind w:left="1640" w:right="800" w:hanging="894"/>
        <w:spacing w:after="0" w:line="272" w:lineRule="auto"/>
        <w:tabs>
          <w:tab w:leader="none" w:pos="1620" w:val="left"/>
        </w:tabs>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10.10#</w:t>
        </w:r>
      </w:hyperlink>
      <w:r>
        <w:rPr>
          <w:rFonts w:ascii="Times New Roman" w:cs="Times New Roman" w:eastAsia="Times New Roman" w:hAnsi="Times New Roman"/>
          <w:sz w:val="17"/>
          <w:szCs w:val="17"/>
          <w:u w:val="single" w:color="auto"/>
          <w:color w:val="0000FF"/>
        </w:rPr>
        <w:tab/>
      </w:r>
      <w:hyperlink r:id="rId153">
        <w:r>
          <w:rPr>
            <w:rFonts w:ascii="Times New Roman" w:cs="Times New Roman" w:eastAsia="Times New Roman" w:hAnsi="Times New Roman"/>
            <w:sz w:val="17"/>
            <w:szCs w:val="17"/>
            <w:u w:val="single" w:color="auto"/>
            <w:color w:val="0000FF"/>
          </w:rPr>
          <w:t>Esperion Therapeutics, Inc. 2020 Employee Stock Purchase Plan, as amended (incorporated by reference to Exhibit 10.2 to the</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Registrant's Current Report on Form 8-K, File No. 001-35986, filed on May 28, 2024)</w:t>
        </w:r>
      </w:hyperlink>
    </w:p>
    <w:p>
      <w:pPr>
        <w:spacing w:after="0" w:line="9" w:lineRule="exact"/>
        <w:rPr>
          <w:rFonts w:ascii="Times New Roman" w:cs="Times New Roman" w:eastAsia="Times New Roman" w:hAnsi="Times New Roman"/>
          <w:sz w:val="17"/>
          <w:szCs w:val="17"/>
          <w:u w:val="single" w:color="auto"/>
          <w:color w:val="0000FF"/>
        </w:rPr>
      </w:pPr>
    </w:p>
    <w:p>
      <w:pPr>
        <w:ind w:left="1640" w:right="220" w:hanging="894"/>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7"/>
            <w:szCs w:val="17"/>
            <w:u w:val="single" w:color="auto"/>
            <w:color w:val="0000FF"/>
          </w:rPr>
          <w:t>10.11*</w:t>
        </w:r>
      </w:hyperlink>
      <w:r>
        <w:rPr>
          <w:rFonts w:ascii="Times New Roman" w:cs="Times New Roman" w:eastAsia="Times New Roman" w:hAnsi="Times New Roman"/>
          <w:sz w:val="17"/>
          <w:szCs w:val="17"/>
          <w:u w:val="single" w:color="auto"/>
          <w:color w:val="0000FF"/>
        </w:rPr>
        <w:tab/>
      </w:r>
      <w:hyperlink r:id="rId154">
        <w:r>
          <w:rPr>
            <w:rFonts w:ascii="Times New Roman" w:cs="Times New Roman" w:eastAsia="Times New Roman" w:hAnsi="Times New Roman"/>
            <w:sz w:val="17"/>
            <w:szCs w:val="17"/>
            <w:u w:val="single" w:color="auto"/>
            <w:color w:val="0000FF"/>
          </w:rPr>
          <w:t>License and Collaboration Agreement by and between the Registrant and Otsuka Pharmaceutical Co., Ltd. dated April 17, 2020</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(incorporated by reference to Exhibit 10.2 of the Registrant’s Quarterly Report on Form 10-Q, File No. 001-35986, filed on August 10,</w:t>
        </w:r>
      </w:hyperlink>
    </w:p>
    <w:p>
      <w:pPr>
        <w:ind w:left="1640"/>
        <w:spacing w:after="0"/>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7"/>
            <w:szCs w:val="17"/>
            <w:u w:val="single" w:color="auto"/>
            <w:color w:val="0000FF"/>
          </w:rPr>
          <w:t>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20" w:hanging="894"/>
        <w:spacing w:after="0" w:line="222" w:lineRule="auto"/>
        <w:tabs>
          <w:tab w:leader="none" w:pos="1620" w:val="left"/>
        </w:tabs>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10.12*</w:t>
        </w:r>
      </w:hyperlink>
      <w:r>
        <w:rPr>
          <w:rFonts w:ascii="Times New Roman" w:cs="Times New Roman" w:eastAsia="Times New Roman" w:hAnsi="Times New Roman"/>
          <w:sz w:val="17"/>
          <w:szCs w:val="17"/>
          <w:u w:val="single" w:color="auto"/>
          <w:color w:val="0000FF"/>
        </w:rPr>
        <w:tab/>
      </w:r>
      <w:hyperlink r:id="rId155">
        <w:r>
          <w:rPr>
            <w:rFonts w:ascii="Times New Roman" w:cs="Times New Roman" w:eastAsia="Times New Roman" w:hAnsi="Times New Roman"/>
            <w:sz w:val="17"/>
            <w:szCs w:val="17"/>
            <w:u w:val="single" w:color="auto"/>
            <w:color w:val="0000FF"/>
          </w:rPr>
          <w:t>1st Amendment to the License and Collaboration Agreement by and between the Registrant and Daiichi Sankyo Europe GMBH dated</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June 18, 2020 (incorporated by reference to Exhibit 10.3 of the Registrant’s Quarterly Report on Form 10-Q, File No. 001-35986, filed on</w:t>
        </w:r>
      </w:hyperlink>
    </w:p>
    <w:p>
      <w:pPr>
        <w:spacing w:after="0" w:line="1" w:lineRule="exact"/>
        <w:rPr>
          <w:rFonts w:ascii="Times New Roman" w:cs="Times New Roman" w:eastAsia="Times New Roman" w:hAnsi="Times New Roman"/>
          <w:sz w:val="17"/>
          <w:szCs w:val="17"/>
          <w:u w:val="single" w:color="auto"/>
          <w:color w:val="0000FF"/>
        </w:rPr>
      </w:pPr>
    </w:p>
    <w:p>
      <w:pPr>
        <w:ind w:left="1640"/>
        <w:spacing w:after="0"/>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August 10, 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100" w:hanging="894"/>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7"/>
            <w:szCs w:val="17"/>
            <w:u w:val="single" w:color="auto"/>
            <w:color w:val="0000FF"/>
          </w:rPr>
          <w:t>10.13*</w:t>
        </w:r>
      </w:hyperlink>
      <w:r>
        <w:rPr>
          <w:rFonts w:ascii="Times New Roman" w:cs="Times New Roman" w:eastAsia="Times New Roman" w:hAnsi="Times New Roman"/>
          <w:sz w:val="17"/>
          <w:szCs w:val="17"/>
          <w:u w:val="single" w:color="auto"/>
          <w:color w:val="0000FF"/>
        </w:rPr>
        <w:tab/>
      </w:r>
      <w:hyperlink r:id="rId156">
        <w:r>
          <w:rPr>
            <w:rFonts w:ascii="Times New Roman" w:cs="Times New Roman" w:eastAsia="Times New Roman" w:hAnsi="Times New Roman"/>
            <w:sz w:val="17"/>
            <w:szCs w:val="17"/>
            <w:u w:val="single" w:color="auto"/>
            <w:color w:val="0000FF"/>
          </w:rPr>
          <w:t>Exchange Agreement, dated October 22, 2021, by and between the Registrant and the Holders (incorporated by reference to Exhibit 10.1</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to the Registrant’s Current Report on Form 8-K, File No. 001-35986, filed on October 25, 2021)</w:t>
        </w:r>
      </w:hyperlink>
    </w:p>
    <w:p>
      <w:pPr>
        <w:spacing w:after="0" w:line="11" w:lineRule="exact"/>
        <w:rPr>
          <w:rFonts w:ascii="Times New Roman" w:cs="Times New Roman" w:eastAsia="Times New Roman" w:hAnsi="Times New Roman"/>
          <w:sz w:val="17"/>
          <w:szCs w:val="17"/>
          <w:u w:val="single" w:color="auto"/>
          <w:color w:val="0000FF"/>
        </w:rPr>
      </w:pPr>
    </w:p>
    <w:p>
      <w:pPr>
        <w:ind w:left="1640" w:right="320" w:hanging="894"/>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10.14*</w:t>
        </w:r>
      </w:hyperlink>
      <w:r>
        <w:rPr>
          <w:rFonts w:ascii="Times New Roman" w:cs="Times New Roman" w:eastAsia="Times New Roman" w:hAnsi="Times New Roman"/>
          <w:sz w:val="17"/>
          <w:szCs w:val="17"/>
          <w:u w:val="single" w:color="auto"/>
          <w:color w:val="0000FF"/>
        </w:rPr>
        <w:tab/>
      </w:r>
      <w:hyperlink r:id="rId157">
        <w:r>
          <w:rPr>
            <w:rFonts w:ascii="Times New Roman" w:cs="Times New Roman" w:eastAsia="Times New Roman" w:hAnsi="Times New Roman"/>
            <w:sz w:val="17"/>
            <w:szCs w:val="17"/>
            <w:u w:val="single" w:color="auto"/>
            <w:color w:val="0000FF"/>
          </w:rPr>
          <w:t>License and Collaboration Agreement, by and between the Registrant and Daiichi Sankyo Company, Limited dated April 26, 2021</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(incorporated by reference to Exhibit 10.1 to the Registrant’s Quarterly Report on Form 10-Q, File No. 001-35986, filed on August 3,</w:t>
        </w:r>
      </w:hyperlink>
    </w:p>
    <w:p>
      <w:pPr>
        <w:ind w:left="1640"/>
        <w:spacing w:after="0"/>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2021)</w:t>
        </w:r>
      </w:hyperlink>
    </w:p>
    <w:p>
      <w:pPr>
        <w:spacing w:after="0" w:line="10" w:lineRule="exact"/>
        <w:rPr>
          <w:rFonts w:ascii="Times New Roman" w:cs="Times New Roman" w:eastAsia="Times New Roman" w:hAnsi="Times New Roman"/>
          <w:sz w:val="17"/>
          <w:szCs w:val="17"/>
          <w:u w:val="single" w:color="auto"/>
          <w:color w:val="0000FF"/>
        </w:rPr>
      </w:pPr>
    </w:p>
    <w:p>
      <w:pPr>
        <w:ind w:left="1640" w:right="120" w:hanging="808"/>
        <w:spacing w:after="0" w:line="222" w:lineRule="auto"/>
        <w:tabs>
          <w:tab w:leader="none" w:pos="1620" w:val="left"/>
        </w:tabs>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10.15</w:t>
        </w:r>
      </w:hyperlink>
      <w:r>
        <w:rPr>
          <w:rFonts w:ascii="Times New Roman" w:cs="Times New Roman" w:eastAsia="Times New Roman" w:hAnsi="Times New Roman"/>
          <w:sz w:val="17"/>
          <w:szCs w:val="17"/>
          <w:u w:val="single" w:color="auto"/>
          <w:color w:val="0000FF"/>
        </w:rPr>
        <w:tab/>
      </w:r>
      <w:hyperlink r:id="rId159">
        <w:r>
          <w:rPr>
            <w:rFonts w:ascii="Times New Roman" w:cs="Times New Roman" w:eastAsia="Times New Roman" w:hAnsi="Times New Roman"/>
            <w:sz w:val="17"/>
            <w:szCs w:val="17"/>
            <w:u w:val="single" w:color="auto"/>
            <w:color w:val="0000FF"/>
          </w:rPr>
          <w:t>2nd Amendment to the License and Collaboration Agreement by and between the Registrant and Daiichi Sankyo Europe GMBH dated</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March 19, 2021 (incorporated by reference to Exhibit 10.1 to the Registrant’s Quarterly Report on Form 10-Q, File No. 001-35986, filed</w:t>
        </w:r>
      </w:hyperlink>
    </w:p>
    <w:p>
      <w:pPr>
        <w:spacing w:after="0" w:line="1" w:lineRule="exact"/>
        <w:rPr>
          <w:rFonts w:ascii="Times New Roman" w:cs="Times New Roman" w:eastAsia="Times New Roman" w:hAnsi="Times New Roman"/>
          <w:sz w:val="17"/>
          <w:szCs w:val="17"/>
          <w:u w:val="single" w:color="auto"/>
          <w:color w:val="0000FF"/>
        </w:rPr>
      </w:pPr>
    </w:p>
    <w:p>
      <w:pPr>
        <w:ind w:left="1640"/>
        <w:spacing w:after="0"/>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on May 4, 2021)</w:t>
        </w:r>
      </w:hyperlink>
    </w:p>
    <w:p>
      <w:pPr>
        <w:spacing w:after="0" w:line="10" w:lineRule="exact"/>
        <w:rPr>
          <w:rFonts w:ascii="Times New Roman" w:cs="Times New Roman" w:eastAsia="Times New Roman" w:hAnsi="Times New Roman"/>
          <w:sz w:val="17"/>
          <w:szCs w:val="17"/>
          <w:u w:val="single" w:color="auto"/>
          <w:color w:val="0000FF"/>
        </w:rPr>
      </w:pPr>
    </w:p>
    <w:p>
      <w:pPr>
        <w:ind w:left="1640" w:right="320" w:hanging="894"/>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10.16#</w:t>
        </w:r>
      </w:hyperlink>
      <w:r>
        <w:rPr>
          <w:rFonts w:ascii="Times New Roman" w:cs="Times New Roman" w:eastAsia="Times New Roman" w:hAnsi="Times New Roman"/>
          <w:sz w:val="17"/>
          <w:szCs w:val="17"/>
          <w:u w:val="single" w:color="auto"/>
          <w:color w:val="0000FF"/>
        </w:rPr>
        <w:tab/>
      </w:r>
      <w:hyperlink r:id="rId160">
        <w:r>
          <w:rPr>
            <w:rFonts w:ascii="Times New Roman" w:cs="Times New Roman" w:eastAsia="Times New Roman" w:hAnsi="Times New Roman"/>
            <w:sz w:val="17"/>
            <w:szCs w:val="17"/>
            <w:u w:val="single" w:color="auto"/>
            <w:color w:val="0000FF"/>
          </w:rPr>
          <w:t>Esperion Therapeutics, Inc. 2022 Stock Option and Incentive Plan, as amended, and forms of agreements thereunder (incorporated by</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reference to Exhibit 10.1 to the Registrant's Current Report on Form 8-K, File No. 001-35986, filed on June 2, 2025)</w:t>
        </w:r>
      </w:hyperlink>
    </w:p>
    <w:p>
      <w:pPr>
        <w:spacing w:after="0" w:line="11" w:lineRule="exact"/>
        <w:rPr>
          <w:rFonts w:ascii="Times New Roman" w:cs="Times New Roman" w:eastAsia="Times New Roman" w:hAnsi="Times New Roman"/>
          <w:sz w:val="17"/>
          <w:szCs w:val="17"/>
          <w:u w:val="single" w:color="auto"/>
          <w:color w:val="0000FF"/>
        </w:rPr>
      </w:pPr>
    </w:p>
    <w:p>
      <w:pPr>
        <w:ind w:left="1640" w:right="80" w:hanging="894"/>
        <w:spacing w:after="0"/>
        <w:tabs>
          <w:tab w:leader="none" w:pos="1620" w:val="left"/>
        </w:tabs>
        <w:rPr>
          <w:rFonts w:ascii="Times New Roman" w:cs="Times New Roman" w:eastAsia="Times New Roman" w:hAnsi="Times New Roman"/>
          <w:sz w:val="17"/>
          <w:szCs w:val="17"/>
          <w:u w:val="single" w:color="auto"/>
          <w:color w:val="0000FF"/>
        </w:rPr>
      </w:pPr>
      <w:hyperlink r:id="rId161">
        <w:r>
          <w:rPr>
            <w:rFonts w:ascii="Times New Roman" w:cs="Times New Roman" w:eastAsia="Times New Roman" w:hAnsi="Times New Roman"/>
            <w:sz w:val="17"/>
            <w:szCs w:val="17"/>
            <w:u w:val="single" w:color="auto"/>
            <w:color w:val="0000FF"/>
          </w:rPr>
          <w:t>10.17#</w:t>
        </w:r>
      </w:hyperlink>
      <w:r>
        <w:rPr>
          <w:rFonts w:ascii="Times New Roman" w:cs="Times New Roman" w:eastAsia="Times New Roman" w:hAnsi="Times New Roman"/>
          <w:sz w:val="17"/>
          <w:szCs w:val="17"/>
          <w:u w:val="single" w:color="auto"/>
          <w:color w:val="0000FF"/>
        </w:rPr>
        <w:tab/>
      </w:r>
      <w:hyperlink r:id="rId161">
        <w:r>
          <w:rPr>
            <w:rFonts w:ascii="Times New Roman" w:cs="Times New Roman" w:eastAsia="Times New Roman" w:hAnsi="Times New Roman"/>
            <w:sz w:val="17"/>
            <w:szCs w:val="17"/>
            <w:u w:val="single" w:color="auto"/>
            <w:color w:val="0000FF"/>
          </w:rPr>
          <w:t>Employment Agreement, dated November 16, 2022, by and between the Registrant and Benjamin Halladay (incorporated by reference to</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Exhibit 10.1 to the Registrant's Current Report on Form 8-K, File No. 001-35986, filed on November 16, 2022)</w:t>
        </w:r>
      </w:hyperlink>
    </w:p>
    <w:p>
      <w:pPr>
        <w:ind w:left="760"/>
        <w:spacing w:after="0"/>
        <w:tabs>
          <w:tab w:leader="none" w:pos="1620" w:val="left"/>
        </w:tabs>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10.</w:t>
        </w:r>
      </w:hyperlink>
      <w:r>
        <w:rPr>
          <w:rFonts w:ascii="Times New Roman" w:cs="Times New Roman" w:eastAsia="Times New Roman" w:hAnsi="Times New Roman"/>
          <w:sz w:val="17"/>
          <w:szCs w:val="17"/>
          <w:u w:val="single" w:color="auto"/>
          <w:color w:val="0000FF"/>
        </w:rPr>
        <w:t>18#</w:t>
        <w:tab/>
      </w:r>
      <w:hyperlink r:id="rId162">
        <w:r>
          <w:rPr>
            <w:rFonts w:ascii="Times New Roman" w:cs="Times New Roman" w:eastAsia="Times New Roman" w:hAnsi="Times New Roman"/>
            <w:sz w:val="17"/>
            <w:szCs w:val="17"/>
            <w:u w:val="single" w:color="auto"/>
            <w:color w:val="0000FF"/>
          </w:rPr>
          <w:t>Employment Agreement, dated June 9, 2022, by and between the Registrant and Sheldon Koenig (incorporated by reference to Exhibit</w:t>
        </w:r>
      </w:hyperlink>
    </w:p>
    <w:p>
      <w:pPr>
        <w:ind w:left="1640"/>
        <w:spacing w:after="0"/>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10.1 to the Registrant's Current Report on Form 8-K, File No. 001-35986, filed on June 13, 2022)</w:t>
        </w:r>
      </w:hyperlink>
    </w:p>
    <w:p>
      <w:pPr>
        <w:spacing w:after="0" w:line="10" w:lineRule="exact"/>
        <w:rPr>
          <w:sz w:val="20"/>
          <w:szCs w:val="20"/>
          <w:color w:val="auto"/>
        </w:rPr>
      </w:pPr>
    </w:p>
    <w:p>
      <w:pPr>
        <w:ind w:left="760"/>
        <w:spacing w:after="0"/>
        <w:tabs>
          <w:tab w:leader="none" w:pos="1620" w:val="left"/>
        </w:tabs>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10.</w:t>
        </w:r>
      </w:hyperlink>
      <w:r>
        <w:rPr>
          <w:rFonts w:ascii="Times New Roman" w:cs="Times New Roman" w:eastAsia="Times New Roman" w:hAnsi="Times New Roman"/>
          <w:sz w:val="17"/>
          <w:szCs w:val="17"/>
          <w:u w:val="single" w:color="auto"/>
          <w:color w:val="0000FF"/>
        </w:rPr>
        <w:t>19#</w:t>
        <w:tab/>
      </w:r>
      <w:hyperlink r:id="rId163">
        <w:r>
          <w:rPr>
            <w:rFonts w:ascii="Times New Roman" w:cs="Times New Roman" w:eastAsia="Times New Roman" w:hAnsi="Times New Roman"/>
            <w:sz w:val="17"/>
            <w:szCs w:val="17"/>
            <w:u w:val="single" w:color="auto"/>
            <w:color w:val="0000FF"/>
          </w:rPr>
          <w:t>Employment Agreement, dated June 9, 2022, by and between the Registrant and Benjamin Looker (incorporated by reference to Exhibit</w:t>
        </w:r>
      </w:hyperlink>
    </w:p>
    <w:p>
      <w:pPr>
        <w:ind w:left="1640"/>
        <w:spacing w:after="0"/>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10.4 to the Registrant's Current Report on Form 8-K, File No. 001-35986, filed on June 13, 2022)</w:t>
        </w:r>
      </w:hyperlink>
    </w:p>
    <w:p>
      <w:pPr>
        <w:spacing w:after="0" w:line="19" w:lineRule="exact"/>
        <w:rPr>
          <w:sz w:val="20"/>
          <w:szCs w:val="20"/>
          <w:color w:val="auto"/>
        </w:rPr>
      </w:pPr>
    </w:p>
    <w:p>
      <w:pPr>
        <w:ind w:left="1640" w:right="520" w:hanging="894"/>
        <w:spacing w:after="0"/>
        <w:tabs>
          <w:tab w:leader="none" w:pos="1620" w:val="left"/>
        </w:tabs>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10.20#</w:t>
        </w:r>
      </w:hyperlink>
      <w:r>
        <w:rPr>
          <w:rFonts w:ascii="Times New Roman" w:cs="Times New Roman" w:eastAsia="Times New Roman" w:hAnsi="Times New Roman"/>
          <w:sz w:val="17"/>
          <w:szCs w:val="17"/>
          <w:u w:val="single" w:color="auto"/>
          <w:color w:val="0000FF"/>
        </w:rPr>
        <w:tab/>
      </w:r>
      <w:hyperlink r:id="rId164">
        <w:r>
          <w:rPr>
            <w:rFonts w:ascii="Times New Roman" w:cs="Times New Roman" w:eastAsia="Times New Roman" w:hAnsi="Times New Roman"/>
            <w:sz w:val="17"/>
            <w:szCs w:val="17"/>
            <w:u w:val="single" w:color="auto"/>
            <w:color w:val="0000FF"/>
          </w:rPr>
          <w:t>Employment Agreement, dated November 17, 2025, by and between the Registrant and John Harlow (incorporated by reference to</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Exhibit 10.1 to the Registrant's Current Report on Form 8-K, File No. 001-35986, filed on November 4, 2025)</w:t>
        </w:r>
      </w:hyperlink>
    </w:p>
    <w:p>
      <w:pPr>
        <w:spacing w:after="0" w:line="10" w:lineRule="exact"/>
        <w:rPr>
          <w:rFonts w:ascii="Times New Roman" w:cs="Times New Roman" w:eastAsia="Times New Roman" w:hAnsi="Times New Roman"/>
          <w:sz w:val="17"/>
          <w:szCs w:val="17"/>
          <w:u w:val="single" w:color="auto"/>
          <w:color w:val="0000FF"/>
        </w:rPr>
      </w:pPr>
    </w:p>
    <w:p>
      <w:pPr>
        <w:ind w:left="1640" w:hanging="894"/>
        <w:spacing w:after="0"/>
        <w:tabs>
          <w:tab w:leader="none" w:pos="1620" w:val="left"/>
        </w:tabs>
        <w:rPr>
          <w:rFonts w:ascii="Times New Roman" w:cs="Times New Roman" w:eastAsia="Times New Roman" w:hAnsi="Times New Roman"/>
          <w:sz w:val="17"/>
          <w:szCs w:val="17"/>
          <w:u w:val="single" w:color="auto"/>
          <w:color w:val="0000FF"/>
        </w:rPr>
      </w:pPr>
      <w:hyperlink r:id="rId165">
        <w:r>
          <w:rPr>
            <w:rFonts w:ascii="Times New Roman" w:cs="Times New Roman" w:eastAsia="Times New Roman" w:hAnsi="Times New Roman"/>
            <w:sz w:val="17"/>
            <w:szCs w:val="17"/>
            <w:u w:val="single" w:color="auto"/>
            <w:color w:val="0000FF"/>
          </w:rPr>
          <w:t>10.21#</w:t>
        </w:r>
      </w:hyperlink>
      <w:r>
        <w:rPr>
          <w:rFonts w:ascii="Times New Roman" w:cs="Times New Roman" w:eastAsia="Times New Roman" w:hAnsi="Times New Roman"/>
          <w:sz w:val="17"/>
          <w:szCs w:val="17"/>
          <w:u w:val="single" w:color="auto"/>
          <w:color w:val="0000FF"/>
        </w:rPr>
        <w:tab/>
      </w:r>
      <w:hyperlink r:id="rId165">
        <w:r>
          <w:rPr>
            <w:rFonts w:ascii="Times New Roman" w:cs="Times New Roman" w:eastAsia="Times New Roman" w:hAnsi="Times New Roman"/>
            <w:sz w:val="17"/>
            <w:szCs w:val="17"/>
            <w:u w:val="single" w:color="auto"/>
            <w:color w:val="0000FF"/>
          </w:rPr>
          <w:t>Second Amendment to 2017 Inducement Equity Plan (incorporated by reference to Exhibit 99.3 to the Registrant’s Registration Statement</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on Form S-8, File No. 333-274183, filed on August 24, 2023)</w:t>
        </w:r>
      </w:hyperlink>
    </w:p>
    <w:p>
      <w:pPr>
        <w:spacing w:after="0" w:line="10" w:lineRule="exact"/>
        <w:rPr>
          <w:rFonts w:ascii="Times New Roman" w:cs="Times New Roman" w:eastAsia="Times New Roman" w:hAnsi="Times New Roman"/>
          <w:sz w:val="17"/>
          <w:szCs w:val="17"/>
          <w:u w:val="single" w:color="auto"/>
          <w:color w:val="0000FF"/>
        </w:rPr>
      </w:pPr>
    </w:p>
    <w:p>
      <w:pPr>
        <w:ind w:left="1640" w:right="240" w:hanging="980"/>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10.22†*</w:t>
        </w:r>
      </w:hyperlink>
      <w:r>
        <w:rPr>
          <w:rFonts w:ascii="Times New Roman" w:cs="Times New Roman" w:eastAsia="Times New Roman" w:hAnsi="Times New Roman"/>
          <w:sz w:val="17"/>
          <w:szCs w:val="17"/>
          <w:u w:val="single" w:color="auto"/>
          <w:color w:val="0000FF"/>
        </w:rPr>
        <w:tab/>
      </w:r>
      <w:hyperlink r:id="rId166">
        <w:r>
          <w:rPr>
            <w:rFonts w:ascii="Times New Roman" w:cs="Times New Roman" w:eastAsia="Times New Roman" w:hAnsi="Times New Roman"/>
            <w:sz w:val="17"/>
            <w:szCs w:val="17"/>
            <w:u w:val="single" w:color="auto"/>
            <w:color w:val="0000FF"/>
          </w:rPr>
          <w:t>Royalty Purchase Agreement, dated as of June 24, 2024, by and between the Registrant and OCM IP Healthcare Portfolio LP</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(incorporated by reference to Exhibit 10.1 to the Registrant’s Quarterly Report on Form 10-Q, File No. 001-35986, filed on August 12,</w:t>
        </w:r>
      </w:hyperlink>
    </w:p>
    <w:p>
      <w:pPr>
        <w:ind w:left="1640"/>
        <w:spacing w:after="0"/>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2024)</w:t>
        </w:r>
      </w:hyperlink>
    </w:p>
    <w:p>
      <w:pPr>
        <w:spacing w:after="0" w:line="10" w:lineRule="exact"/>
        <w:rPr>
          <w:rFonts w:ascii="Times New Roman" w:cs="Times New Roman" w:eastAsia="Times New Roman" w:hAnsi="Times New Roman"/>
          <w:sz w:val="17"/>
          <w:szCs w:val="17"/>
          <w:u w:val="single" w:color="auto"/>
          <w:color w:val="0000FF"/>
        </w:rPr>
      </w:pPr>
    </w:p>
    <w:p>
      <w:pPr>
        <w:ind w:left="1640" w:right="60" w:hanging="894"/>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67">
        <w:r>
          <w:rPr>
            <w:rFonts w:ascii="Times New Roman" w:cs="Times New Roman" w:eastAsia="Times New Roman" w:hAnsi="Times New Roman"/>
            <w:sz w:val="17"/>
            <w:szCs w:val="17"/>
            <w:u w:val="single" w:color="auto"/>
            <w:color w:val="0000FF"/>
          </w:rPr>
          <w:t>10.23*</w:t>
        </w:r>
      </w:hyperlink>
      <w:r>
        <w:rPr>
          <w:rFonts w:ascii="Times New Roman" w:cs="Times New Roman" w:eastAsia="Times New Roman" w:hAnsi="Times New Roman"/>
          <w:sz w:val="17"/>
          <w:szCs w:val="17"/>
          <w:u w:val="single" w:color="auto"/>
          <w:color w:val="0000FF"/>
        </w:rPr>
        <w:tab/>
      </w:r>
      <w:hyperlink r:id="rId167">
        <w:r>
          <w:rPr>
            <w:rFonts w:ascii="Times New Roman" w:cs="Times New Roman" w:eastAsia="Times New Roman" w:hAnsi="Times New Roman"/>
            <w:sz w:val="17"/>
            <w:szCs w:val="17"/>
            <w:u w:val="single" w:color="auto"/>
            <w:color w:val="0000FF"/>
          </w:rPr>
          <w:t>Confidential Settlement Agreement and Release, dated as of January 2, 2024, between the Registrant and Daiichi Sankyo Europe GmbH</w:t>
        </w:r>
      </w:hyperlink>
      <w:r>
        <w:rPr>
          <w:rFonts w:ascii="Times New Roman" w:cs="Times New Roman" w:eastAsia="Times New Roman" w:hAnsi="Times New Roman"/>
          <w:sz w:val="17"/>
          <w:szCs w:val="17"/>
          <w:u w:val="single" w:color="auto"/>
          <w:color w:val="0000FF"/>
        </w:rPr>
        <w:t xml:space="preserve"> </w:t>
      </w:r>
      <w:hyperlink r:id="rId167">
        <w:r>
          <w:rPr>
            <w:rFonts w:ascii="Times New Roman" w:cs="Times New Roman" w:eastAsia="Times New Roman" w:hAnsi="Times New Roman"/>
            <w:sz w:val="17"/>
            <w:szCs w:val="17"/>
            <w:u w:val="single" w:color="auto"/>
            <w:color w:val="0000FF"/>
          </w:rPr>
          <w:t>(incorporated by reference to Exhibit 10.1 to the Registrant’s Quarterly Report on Form 10-Q, File No. 001-35986, filed on May 7, 2024)</w:t>
        </w:r>
      </w:hyperlink>
    </w:p>
    <w:p>
      <w:pPr>
        <w:spacing w:after="0" w:line="11" w:lineRule="exact"/>
        <w:rPr>
          <w:rFonts w:ascii="Times New Roman" w:cs="Times New Roman" w:eastAsia="Times New Roman" w:hAnsi="Times New Roman"/>
          <w:sz w:val="17"/>
          <w:szCs w:val="17"/>
          <w:u w:val="single" w:color="auto"/>
          <w:color w:val="0000FF"/>
        </w:rPr>
      </w:pPr>
    </w:p>
    <w:p>
      <w:pPr>
        <w:ind w:left="1640" w:right="120" w:hanging="894"/>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68">
        <w:r>
          <w:rPr>
            <w:rFonts w:ascii="Times New Roman" w:cs="Times New Roman" w:eastAsia="Times New Roman" w:hAnsi="Times New Roman"/>
            <w:sz w:val="17"/>
            <w:szCs w:val="17"/>
            <w:u w:val="single" w:color="auto"/>
            <w:color w:val="0000FF"/>
          </w:rPr>
          <w:t>10.24*</w:t>
        </w:r>
      </w:hyperlink>
      <w:r>
        <w:rPr>
          <w:rFonts w:ascii="Times New Roman" w:cs="Times New Roman" w:eastAsia="Times New Roman" w:hAnsi="Times New Roman"/>
          <w:sz w:val="17"/>
          <w:szCs w:val="17"/>
          <w:u w:val="single" w:color="auto"/>
          <w:color w:val="0000FF"/>
        </w:rPr>
        <w:tab/>
      </w:r>
      <w:hyperlink r:id="rId168">
        <w:r>
          <w:rPr>
            <w:rFonts w:ascii="Times New Roman" w:cs="Times New Roman" w:eastAsia="Times New Roman" w:hAnsi="Times New Roman"/>
            <w:sz w:val="17"/>
            <w:szCs w:val="17"/>
            <w:u w:val="single" w:color="auto"/>
            <w:color w:val="0000FF"/>
          </w:rPr>
          <w:t>3rd Amendment to the License and Collaboration Agreement by and between the Registrant and Daiichi Sankyo Europe GMBH dated</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January 2, 2024 (incorporated by reference to Exhibit 10.2 to the Registrant’s Quarterly Report on Form 10-Q, File No. 001-35986, filed</w:t>
        </w:r>
      </w:hyperlink>
    </w:p>
    <w:p>
      <w:pPr>
        <w:ind w:left="1640"/>
        <w:spacing w:after="0"/>
        <w:rPr>
          <w:rFonts w:ascii="Times New Roman" w:cs="Times New Roman" w:eastAsia="Times New Roman" w:hAnsi="Times New Roman"/>
          <w:sz w:val="17"/>
          <w:szCs w:val="17"/>
          <w:u w:val="single" w:color="auto"/>
          <w:color w:val="0000FF"/>
        </w:rPr>
      </w:pPr>
      <w:hyperlink r:id="rId168">
        <w:r>
          <w:rPr>
            <w:rFonts w:ascii="Times New Roman" w:cs="Times New Roman" w:eastAsia="Times New Roman" w:hAnsi="Times New Roman"/>
            <w:sz w:val="17"/>
            <w:szCs w:val="17"/>
            <w:u w:val="single" w:color="auto"/>
            <w:color w:val="0000FF"/>
          </w:rPr>
          <w:t>on May 7, 2024)</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13" w:lineRule="exact"/>
        <w:rPr>
          <w:rFonts w:ascii="Times New Roman" w:cs="Times New Roman" w:eastAsia="Times New Roman" w:hAnsi="Times New Roman"/>
          <w:sz w:val="17"/>
          <w:szCs w:val="17"/>
          <w:u w:val="single" w:color="auto"/>
          <w:color w:val="0000FF"/>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25*</w:t>
            </w:r>
          </w:p>
        </w:tc>
        <w:tc>
          <w:tcPr>
            <w:tcW w:w="420" w:type="dxa"/>
            <w:vAlign w:val="bottom"/>
          </w:tcPr>
          <w:p>
            <w:pPr>
              <w:spacing w:after="0"/>
              <w:rPr>
                <w:sz w:val="17"/>
                <w:szCs w:val="17"/>
                <w:color w:val="auto"/>
              </w:rPr>
            </w:pPr>
          </w:p>
        </w:tc>
        <w:tc>
          <w:tcPr>
            <w:tcW w:w="9540" w:type="dxa"/>
            <w:vAlign w:val="bottom"/>
            <w:gridSpan w:val="23"/>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1st Amendment to License and Collaboration Agreement, by and between the Registrant and Daiichi Sankyo Company, Limited dated</w:t>
              </w:r>
            </w:hyperlink>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540" w:type="dxa"/>
            <w:vAlign w:val="bottom"/>
            <w:gridSpan w:val="23"/>
          </w:tcPr>
          <w:p>
            <w:pPr>
              <w:spacing w:after="0" w:line="14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January 2, 2024 (incorporated by reference to Exhibit 10.3 to the Registrant’s Quarterly Report on Form 10-Q, File No. 001-35986, filed</w:t>
              </w:r>
            </w:hyperlink>
          </w:p>
        </w:tc>
      </w:tr>
      <w:tr>
        <w:trPr>
          <w:trHeight w:val="16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on May 7, 2024)</w:t>
              </w:r>
            </w:hyperlink>
          </w:p>
        </w:tc>
        <w:tc>
          <w:tcPr>
            <w:tcW w:w="8280" w:type="dxa"/>
            <w:vAlign w:val="bottom"/>
            <w:tcBorders>
              <w:top w:val="single" w:sz="8" w:color="0000FF"/>
            </w:tcBorders>
            <w:gridSpan w:val="2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26</w:t>
            </w:r>
          </w:p>
        </w:tc>
        <w:tc>
          <w:tcPr>
            <w:tcW w:w="420" w:type="dxa"/>
            <w:vAlign w:val="bottom"/>
          </w:tcPr>
          <w:p>
            <w:pPr>
              <w:spacing w:after="0"/>
              <w:rPr>
                <w:sz w:val="17"/>
                <w:szCs w:val="17"/>
                <w:color w:val="auto"/>
              </w:rPr>
            </w:pPr>
          </w:p>
        </w:tc>
        <w:tc>
          <w:tcPr>
            <w:tcW w:w="9540" w:type="dxa"/>
            <w:vAlign w:val="bottom"/>
            <w:gridSpan w:val="23"/>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Credit Agreement, dated as of December 13, 2024, by and among the Registrant, GLAS USA LLC, as administrative agent, and the</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10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lenders party thereto (incorporated by reference to Exhibit 10.1 to the Registrant’s Current Report on Form 8-K, File No. 001-35986,</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8"/>
          </w:tcPr>
          <w:p>
            <w:pPr>
              <w:ind w:left="20"/>
              <w:spacing w:after="0" w:line="148" w:lineRule="exact"/>
              <w:rPr>
                <w:rFonts w:ascii="Times New Roman" w:cs="Times New Roman" w:eastAsia="Times New Roman" w:hAnsi="Times New Roman"/>
                <w:sz w:val="17"/>
                <w:szCs w:val="17"/>
                <w:color w:val="0000FF"/>
                <w:w w:val="96"/>
              </w:rPr>
            </w:pPr>
            <w:hyperlink r:id="rId171">
              <w:r>
                <w:rPr>
                  <w:rFonts w:ascii="Times New Roman" w:cs="Times New Roman" w:eastAsia="Times New Roman" w:hAnsi="Times New Roman"/>
                  <w:sz w:val="17"/>
                  <w:szCs w:val="17"/>
                  <w:color w:val="0000FF"/>
                  <w:w w:val="96"/>
                </w:rPr>
                <w:t>filed</w:t>
              </w:r>
            </w:hyperlink>
          </w:p>
        </w:tc>
      </w:tr>
      <w:tr>
        <w:trPr>
          <w:trHeight w:val="16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on December 13, 2024)</w:t>
              </w:r>
            </w:hyperlink>
          </w:p>
        </w:tc>
        <w:tc>
          <w:tcPr>
            <w:tcW w:w="78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27**</w:t>
            </w:r>
          </w:p>
        </w:tc>
        <w:tc>
          <w:tcPr>
            <w:tcW w:w="420" w:type="dxa"/>
            <w:vAlign w:val="bottom"/>
          </w:tcPr>
          <w:p>
            <w:pPr>
              <w:spacing w:after="0"/>
              <w:rPr>
                <w:sz w:val="19"/>
                <w:szCs w:val="19"/>
                <w:color w:val="auto"/>
              </w:rPr>
            </w:pP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First Amendment to License and Collaboration Agreement, dated as of November 5, 2025, by and between the Registrant and Otsuka</w:t>
            </w:r>
          </w:p>
        </w:tc>
      </w:tr>
      <w:tr>
        <w:trPr>
          <w:trHeight w:val="128"/>
        </w:trPr>
        <w:tc>
          <w:tcPr>
            <w:tcW w:w="26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tcBorders>
              <w:top w:val="single" w:sz="8" w:color="0000FF"/>
              <w:bottom w:val="single" w:sz="8" w:color="0000FF"/>
            </w:tcBorders>
            <w:gridSpan w:val="3"/>
          </w:tcPr>
          <w:p>
            <w:pPr>
              <w:spacing w:after="0" w:line="128" w:lineRule="exact"/>
              <w:rPr>
                <w:sz w:val="20"/>
                <w:szCs w:val="20"/>
                <w:color w:val="auto"/>
              </w:rPr>
            </w:pPr>
            <w:r>
              <w:rPr>
                <w:rFonts w:ascii="Times New Roman" w:cs="Times New Roman" w:eastAsia="Times New Roman" w:hAnsi="Times New Roman"/>
                <w:sz w:val="14"/>
                <w:szCs w:val="14"/>
                <w:color w:val="0000FF"/>
              </w:rPr>
              <w:t>Pharmaceutical Co., Ltd.*</w:t>
            </w:r>
          </w:p>
        </w:tc>
        <w:tc>
          <w:tcPr>
            <w:tcW w:w="74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r>
      <w:tr>
        <w:trPr>
          <w:trHeight w:val="213"/>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28*</w:t>
            </w:r>
          </w:p>
        </w:tc>
        <w:tc>
          <w:tcPr>
            <w:tcW w:w="4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Agreement and Plan of Merger, dated as of March 2, 2026, by and among Esperion Therapeutics, Inc, Corstasis Therapeutics Inc. and</w:t>
              </w:r>
            </w:hyperlink>
          </w:p>
        </w:tc>
      </w:tr>
      <w:tr>
        <w:trPr>
          <w:trHeight w:val="168"/>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924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Cirrus Transaction Subsidiary, Inc. (incorporated by reference to Exhibit 2.1 to the Registrant’s Current Report on Form 8-K, File No.</w:t>
              </w:r>
            </w:hyperlink>
          </w:p>
        </w:tc>
        <w:tc>
          <w:tcPr>
            <w:tcW w:w="40" w:type="dxa"/>
            <w:vAlign w:val="bottom"/>
            <w:tcBorders>
              <w:bottom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141"/>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tcBorders>
              <w:bottom w:val="single" w:sz="8" w:color="0000FF"/>
            </w:tcBorders>
            <w:gridSpan w:val="5"/>
          </w:tcPr>
          <w:p>
            <w:pPr>
              <w:spacing w:after="0" w:line="141"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001-35986, filed on March 3, 2025)</w:t>
              </w:r>
            </w:hyperlink>
          </w:p>
        </w:tc>
        <w:tc>
          <w:tcPr>
            <w:tcW w:w="40" w:type="dxa"/>
            <w:vAlign w:val="bottom"/>
            <w:tcBorders>
              <w:bottom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200"/>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19.</w:t>
              </w:r>
              <w:r>
                <w:rPr>
                  <w:rFonts w:ascii="Times New Roman" w:cs="Times New Roman" w:eastAsia="Times New Roman" w:hAnsi="Times New Roman"/>
                  <w:sz w:val="17"/>
                  <w:szCs w:val="17"/>
                  <w:u w:val="single" w:color="auto"/>
                  <w:color w:val="0000FF"/>
                </w:rPr>
                <w:t>1</w:t>
              </w:r>
            </w:hyperlink>
          </w:p>
        </w:tc>
        <w:tc>
          <w:tcPr>
            <w:tcW w:w="420" w:type="dxa"/>
            <w:vAlign w:val="bottom"/>
          </w:tcPr>
          <w:p>
            <w:pPr>
              <w:spacing w:after="0"/>
              <w:rPr>
                <w:sz w:val="17"/>
                <w:szCs w:val="17"/>
                <w:color w:val="auto"/>
              </w:rPr>
            </w:pPr>
          </w:p>
        </w:tc>
        <w:tc>
          <w:tcPr>
            <w:tcW w:w="9540" w:type="dxa"/>
            <w:vAlign w:val="bottom"/>
            <w:gridSpan w:val="23"/>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Esperion Therapeutics, Inc. Insider Trading Policy (incorporated by reference to Exhibit 19.1 to the Registrant's Annual Report on Form</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40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10-K, File No. 001-35986, filed on March 7, 2025)</w:t>
              </w:r>
            </w:hyperlink>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20"/>
        </w:trPr>
        <w:tc>
          <w:tcPr>
            <w:tcW w:w="8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13"/>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21.</w:t>
              </w:r>
              <w:r>
                <w:rPr>
                  <w:rFonts w:ascii="Times New Roman" w:cs="Times New Roman" w:eastAsia="Times New Roman" w:hAnsi="Times New Roman"/>
                  <w:sz w:val="17"/>
                  <w:szCs w:val="17"/>
                  <w:u w:val="single" w:color="auto"/>
                  <w:color w:val="0000FF"/>
                </w:rPr>
                <w:t>1</w:t>
              </w:r>
            </w:hyperlink>
          </w:p>
        </w:tc>
        <w:tc>
          <w:tcPr>
            <w:tcW w:w="4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Subsidiaries of the Registrant (incorporated by reference to Exhibit 21.1 to the Registrant’s Registration Statement on Form S-1, File</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2820" w:type="dxa"/>
            <w:vAlign w:val="bottom"/>
            <w:tcBorders>
              <w:top w:val="single" w:sz="8" w:color="0000FF"/>
              <w:bottom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No. 333-188595, filed on May 14, 2013)</w:t>
              </w:r>
            </w:hyperlink>
          </w:p>
        </w:tc>
        <w:tc>
          <w:tcPr>
            <w:tcW w:w="634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213"/>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23.</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8"/>
                <w:szCs w:val="18"/>
                <w:color w:val="auto"/>
              </w:rPr>
            </w:pP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Consent of Ernst &amp; Young LLP</w:t>
            </w: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7"/>
                <w:szCs w:val="17"/>
                <w:color w:val="auto"/>
              </w:rPr>
            </w:pP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 13a-14(a) and Rule 15d-14(a) of the Securities Exchange Act of 1934, as</w:t>
            </w:r>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4700" w:type="dxa"/>
            <w:vAlign w:val="bottom"/>
            <w:tcBorders>
              <w:top w:val="single" w:sz="8" w:color="0000FF"/>
              <w:bottom w:val="single" w:sz="8" w:color="0000FF"/>
            </w:tcBorders>
            <w:gridSpan w:val="12"/>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580" w:type="dxa"/>
            <w:vAlign w:val="bottom"/>
            <w:tcBorders>
              <w:top w:val="single" w:sz="8" w:color="0000FF"/>
            </w:tcBorders>
            <w:gridSpan w:val="6"/>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233"/>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420" w:type="dxa"/>
            <w:vAlign w:val="bottom"/>
          </w:tcPr>
          <w:p>
            <w:pPr>
              <w:spacing w:after="0"/>
              <w:rPr>
                <w:sz w:val="20"/>
                <w:szCs w:val="20"/>
                <w:color w:val="auto"/>
              </w:rPr>
            </w:pP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 13a-14(a) and Rule 15d-14(a) of the Securities Exchange Act of 1934, as</w:t>
            </w:r>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4680" w:type="dxa"/>
            <w:vAlign w:val="bottom"/>
            <w:tcBorders>
              <w:top w:val="single" w:sz="8" w:color="0000FF"/>
              <w:bottom w:val="single" w:sz="8" w:color="0000FF"/>
            </w:tcBorders>
            <w:gridSpan w:val="11"/>
          </w:tcPr>
          <w:p>
            <w:pPr>
              <w:spacing w:after="0" w:line="128" w:lineRule="exact"/>
              <w:rPr>
                <w:sz w:val="20"/>
                <w:szCs w:val="20"/>
                <w:color w:val="auto"/>
              </w:rPr>
            </w:pPr>
            <w:r>
              <w:rPr>
                <w:rFonts w:ascii="Times New Roman" w:cs="Times New Roman" w:eastAsia="Times New Roman" w:hAnsi="Times New Roman"/>
                <w:sz w:val="14"/>
                <w:szCs w:val="14"/>
                <w:color w:val="0000FF"/>
              </w:rPr>
              <w:t>adopted pursuant to Section 302 of the Sarbanes-Oxley Act of 2002</w:t>
            </w:r>
          </w:p>
        </w:tc>
        <w:tc>
          <w:tcPr>
            <w:tcW w:w="4520" w:type="dxa"/>
            <w:vAlign w:val="bottom"/>
            <w:tcBorders>
              <w:top w:val="single" w:sz="8" w:color="0000FF"/>
            </w:tcBorders>
            <w:gridSpan w:val="4"/>
          </w:tcPr>
          <w:p>
            <w:pPr>
              <w:spacing w:after="0"/>
              <w:rPr>
                <w:sz w:val="11"/>
                <w:szCs w:val="11"/>
                <w:color w:val="auto"/>
              </w:rPr>
            </w:pPr>
          </w:p>
        </w:tc>
        <w:tc>
          <w:tcPr>
            <w:tcW w:w="80" w:type="dxa"/>
            <w:vAlign w:val="bottom"/>
            <w:gridSpan w:val="3"/>
          </w:tcPr>
          <w:p>
            <w:pPr>
              <w:spacing w:after="0"/>
              <w:rPr>
                <w:sz w:val="11"/>
                <w:szCs w:val="11"/>
                <w:color w:val="auto"/>
              </w:rPr>
            </w:pPr>
          </w:p>
        </w:tc>
        <w:tc>
          <w:tcPr>
            <w:tcW w:w="140" w:type="dxa"/>
            <w:vAlign w:val="bottom"/>
            <w:gridSpan w:val="2"/>
          </w:tcPr>
          <w:p>
            <w:pPr>
              <w:spacing w:after="0"/>
              <w:rPr>
                <w:sz w:val="11"/>
                <w:szCs w:val="11"/>
                <w:color w:val="auto"/>
              </w:rPr>
            </w:pPr>
          </w:p>
        </w:tc>
        <w:tc>
          <w:tcPr>
            <w:tcW w:w="120" w:type="dxa"/>
            <w:vAlign w:val="bottom"/>
            <w:gridSpan w:val="3"/>
          </w:tcPr>
          <w:p>
            <w:pPr>
              <w:spacing w:after="0"/>
              <w:rPr>
                <w:sz w:val="11"/>
                <w:szCs w:val="11"/>
                <w:color w:val="auto"/>
              </w:rPr>
            </w:pPr>
          </w:p>
        </w:tc>
      </w:tr>
      <w:tr>
        <w:trPr>
          <w:trHeight w:val="213"/>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8"/>
                <w:szCs w:val="18"/>
                <w:color w:val="auto"/>
              </w:rPr>
            </w:pP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and Principal Financial Officer pursuant to 18 U.S.C. Section 1350, as adopted pursuant to</w:t>
            </w:r>
          </w:p>
        </w:tc>
      </w:tr>
      <w:tr>
        <w:trPr>
          <w:trHeight w:val="148"/>
        </w:trPr>
        <w:tc>
          <w:tcPr>
            <w:tcW w:w="26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8"/>
          </w:tcPr>
          <w:p>
            <w:pPr>
              <w:spacing w:after="0" w:line="148"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6000" w:type="dxa"/>
            <w:vAlign w:val="bottom"/>
            <w:tcBorders>
              <w:top w:val="single" w:sz="8" w:color="0000FF"/>
            </w:tcBorders>
            <w:gridSpan w:val="10"/>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233"/>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97.</w:t>
              </w:r>
              <w:r>
                <w:rPr>
                  <w:rFonts w:ascii="Times New Roman" w:cs="Times New Roman" w:eastAsia="Times New Roman" w:hAnsi="Times New Roman"/>
                  <w:sz w:val="17"/>
                  <w:szCs w:val="17"/>
                  <w:u w:val="single" w:color="auto"/>
                  <w:color w:val="0000FF"/>
                </w:rPr>
                <w:t>1</w:t>
              </w:r>
            </w:hyperlink>
          </w:p>
        </w:tc>
        <w:tc>
          <w:tcPr>
            <w:tcW w:w="420" w:type="dxa"/>
            <w:vAlign w:val="bottom"/>
          </w:tcPr>
          <w:p>
            <w:pPr>
              <w:spacing w:after="0"/>
              <w:rPr>
                <w:sz w:val="20"/>
                <w:szCs w:val="20"/>
                <w:color w:val="auto"/>
              </w:rPr>
            </w:pPr>
          </w:p>
        </w:tc>
        <w:tc>
          <w:tcPr>
            <w:tcW w:w="9540" w:type="dxa"/>
            <w:vAlign w:val="bottom"/>
            <w:gridSpan w:val="23"/>
          </w:tcPr>
          <w:p>
            <w:pPr>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Esperion Therapeutics, Inc. Compensation Recovery Policy (incorporated by reference to Exhibit 97.1 to the Registrant’s Annual Report</w:t>
              </w:r>
            </w:hyperlink>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4420" w:type="dxa"/>
            <w:vAlign w:val="bottom"/>
            <w:tcBorders>
              <w:top w:val="single" w:sz="8" w:color="0000FF"/>
              <w:bottom w:val="single" w:sz="8" w:color="0000FF"/>
            </w:tcBorders>
            <w:gridSpan w:val="10"/>
          </w:tcPr>
          <w:p>
            <w:pPr>
              <w:spacing w:after="0" w:line="128"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on Form 10-K, File No. 001-35986, filed on February 27, 2024)</w:t>
              </w:r>
            </w:hyperlink>
          </w:p>
        </w:tc>
        <w:tc>
          <w:tcPr>
            <w:tcW w:w="5000" w:type="dxa"/>
            <w:vAlign w:val="bottom"/>
            <w:tcBorders>
              <w:top w:val="single" w:sz="8" w:color="0000FF"/>
            </w:tcBorders>
            <w:gridSpan w:val="10"/>
          </w:tcPr>
          <w:p>
            <w:pPr>
              <w:spacing w:after="0"/>
              <w:rPr>
                <w:sz w:val="11"/>
                <w:szCs w:val="11"/>
                <w:color w:val="auto"/>
              </w:rPr>
            </w:pPr>
          </w:p>
        </w:tc>
        <w:tc>
          <w:tcPr>
            <w:tcW w:w="120" w:type="dxa"/>
            <w:vAlign w:val="bottom"/>
            <w:gridSpan w:val="3"/>
          </w:tcPr>
          <w:p>
            <w:pPr>
              <w:spacing w:after="0"/>
              <w:rPr>
                <w:sz w:val="11"/>
                <w:szCs w:val="11"/>
                <w:color w:val="auto"/>
              </w:rPr>
            </w:pPr>
          </w:p>
        </w:tc>
      </w:tr>
      <w:tr>
        <w:trPr>
          <w:trHeight w:val="248"/>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rPr>
              <w:t>101.SCH**</w:t>
            </w: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20"/>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w w:val="99"/>
              </w:rPr>
              <w:t>101.CAL**</w:t>
            </w: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20"/>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w w:val="99"/>
              </w:rPr>
              <w:t>101.LAB**</w:t>
            </w: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20"/>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rPr>
              <w:t>101.PRE**</w:t>
            </w: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20"/>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rPr>
              <w:t>101.DEF**</w:t>
            </w: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23"/>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420" w:type="dxa"/>
            <w:vAlign w:val="bottom"/>
          </w:tcPr>
          <w:p>
            <w:pPr>
              <w:spacing w:after="0"/>
              <w:rPr>
                <w:sz w:val="19"/>
                <w:szCs w:val="19"/>
                <w:color w:val="auto"/>
              </w:rPr>
            </w:pPr>
          </w:p>
        </w:tc>
        <w:tc>
          <w:tcPr>
            <w:tcW w:w="954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w:t>
      </w:r>
    </w:p>
    <w:p>
      <w:pPr>
        <w:spacing w:after="0" w:line="28" w:lineRule="exact"/>
        <w:rPr>
          <w:sz w:val="20"/>
          <w:szCs w:val="20"/>
          <w:color w:val="auto"/>
        </w:rPr>
      </w:pPr>
    </w:p>
    <w:p>
      <w:pPr>
        <w:ind w:left="640" w:hanging="637"/>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46" w:lineRule="exact"/>
        <w:rPr>
          <w:sz w:val="20"/>
          <w:szCs w:val="20"/>
          <w:color w:val="auto"/>
        </w:rPr>
      </w:pPr>
    </w:p>
    <w:p>
      <w:pPr>
        <w:ind w:left="640" w:hanging="637"/>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in accordance with the rules of the Securities and Exchange Commission.</w:t>
      </w:r>
    </w:p>
    <w:p>
      <w:pPr>
        <w:spacing w:after="0" w:line="102" w:lineRule="exact"/>
        <w:rPr>
          <w:sz w:val="20"/>
          <w:szCs w:val="20"/>
          <w:color w:val="auto"/>
        </w:rPr>
      </w:pPr>
    </w:p>
    <w:p>
      <w:pPr>
        <w:ind w:right="40" w:firstLine="3"/>
        <w:spacing w:after="0" w:line="272" w:lineRule="auto"/>
        <w:tabs>
          <w:tab w:leader="none" w:pos="40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Annexes, schedules and/or exhibits have been omitted pursuant to Item 601(a)(5) of Regulation S-K. The Registrant agrees to furnish supplementally a copy of any omitted attachment to the SEC on a confidential basis upon request.</w:t>
      </w:r>
    </w:p>
    <w:p>
      <w:pPr>
        <w:spacing w:after="0" w:line="61" w:lineRule="exact"/>
        <w:rPr>
          <w:sz w:val="20"/>
          <w:szCs w:val="20"/>
          <w:color w:val="auto"/>
        </w:rPr>
      </w:pPr>
    </w:p>
    <w:p>
      <w:pPr>
        <w:ind w:left="640" w:hanging="637"/>
        <w:spacing w:after="0"/>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28" w:lineRule="exact"/>
        <w:rPr>
          <w:sz w:val="20"/>
          <w:szCs w:val="20"/>
          <w:color w:val="auto"/>
        </w:rPr>
      </w:pPr>
    </w:p>
    <w:p>
      <w:pPr>
        <w:ind w:left="580" w:hanging="577"/>
        <w:spacing w:after="0"/>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 32.1 hereto are deemed to accompany this Annual Report on Form 10-K and will not be deemed “filed” for</w:t>
      </w:r>
    </w:p>
    <w:p>
      <w:pPr>
        <w:spacing w:after="0" w:line="27"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Form 10-K to be signed on its behalf by the undersigned, thereunto duly authorized.</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March 10, 2026</w:t>
            </w:r>
          </w:p>
        </w:tc>
      </w:tr>
      <w:tr>
        <w:trPr>
          <w:trHeight w:val="47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SHELDON L. KOENIG</w:t>
            </w:r>
          </w:p>
        </w:tc>
      </w:tr>
      <w:tr>
        <w:trPr>
          <w:trHeight w:val="205"/>
        </w:trPr>
        <w:tc>
          <w:tcPr>
            <w:tcW w:w="600" w:type="dxa"/>
            <w:vAlign w:val="bottom"/>
          </w:tcPr>
          <w:p>
            <w:pPr>
              <w:spacing w:after="0"/>
              <w:rPr>
                <w:sz w:val="17"/>
                <w:szCs w:val="17"/>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Sheldon L. Koenig</w:t>
            </w:r>
          </w:p>
        </w:tc>
      </w:tr>
      <w:tr>
        <w:trPr>
          <w:trHeight w:val="220"/>
        </w:trPr>
        <w:tc>
          <w:tcPr>
            <w:tcW w:w="6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27"/>
        </w:trPr>
        <w:tc>
          <w:tcPr>
            <w:tcW w:w="6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7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on Form 10-K has been signed by the following persons in the capacities indicated below and on the dates indicated:</w:t>
      </w:r>
    </w:p>
    <w:p>
      <w:pPr>
        <w:sectPr>
          <w:pgSz w:w="11900" w:h="16838" w:orient="portrait"/>
          <w:cols w:equalWidth="0" w:num="1">
            <w:col w:w="11200"/>
          </w:cols>
          <w:pgMar w:left="320" w:top="123" w:right="379" w:bottom="1440" w:gutter="0" w:footer="0" w:header="0"/>
        </w:sectPr>
      </w:pPr>
    </w:p>
    <w:p>
      <w:pPr>
        <w:spacing w:after="0" w:line="1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25107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18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SHELDON 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Sheldon L. Koenig</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Benjamin Halladay</w:t>
      </w:r>
    </w:p>
    <w:p>
      <w:pPr>
        <w:spacing w:after="0" w:line="21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J. MARTIN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J. Martin Carroll</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SETH H.Z.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Seth H.Z. Fischer</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ROBERT E.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Robert E. Hoffman</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STEPHEN ROCAMBOLI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Stephen Rocamboli</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JAY SHEPARD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Jay Shepard</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CRAIG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Craig Thompson</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TRACY M. WOODY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Tracy M. Woody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2969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18" w:lineRule="exact"/>
        <w:rPr>
          <w:sz w:val="20"/>
          <w:szCs w:val="20"/>
          <w:color w:val="auto"/>
        </w:rPr>
      </w:pPr>
    </w:p>
    <w:p>
      <w:pPr>
        <w:ind w:right="1140"/>
        <w:spacing w:after="0" w:line="351" w:lineRule="auto"/>
        <w:rPr>
          <w:sz w:val="20"/>
          <w:szCs w:val="20"/>
          <w:color w:val="auto"/>
        </w:rPr>
      </w:pPr>
      <w:r>
        <w:rPr>
          <w:rFonts w:ascii="Times New Roman" w:cs="Times New Roman" w:eastAsia="Times New Roman" w:hAnsi="Times New Roman"/>
          <w:sz w:val="17"/>
          <w:szCs w:val="17"/>
          <w:color w:val="auto"/>
        </w:rPr>
        <w:t>Chief Financial Officer (Principal Financial Officer and Principal Accounting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27940</wp:posOffset>
            </wp:positionV>
            <wp:extent cx="1165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471" w:lineRule="exact"/>
        <w:rPr>
          <w:sz w:val="20"/>
          <w:szCs w:val="20"/>
          <w:color w:val="auto"/>
        </w:rPr>
      </w:pPr>
    </w:p>
    <w:p>
      <w:pPr>
        <w:sectPr>
          <w:pgSz w:w="11900" w:h="16838" w:orient="portrait"/>
          <w:cols w:equalWidth="0" w:num="3">
            <w:col w:w="3640" w:space="720"/>
            <w:col w:w="4680" w:space="720"/>
            <w:col w:w="1440"/>
          </w:cols>
          <w:pgMar w:left="320" w:top="123" w:right="37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195"/>
        </w:trPr>
        <w:tc>
          <w:tcPr>
            <w:tcW w:w="42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7000" w:type="dxa"/>
            <w:vAlign w:val="bottom"/>
          </w:tcPr>
          <w:p>
            <w:pPr>
              <w:spacing w:after="0"/>
              <w:rPr>
                <w:sz w:val="17"/>
                <w:szCs w:val="17"/>
                <w:color w:val="auto"/>
              </w:rPr>
            </w:pPr>
          </w:p>
        </w:tc>
      </w:tr>
      <w:tr>
        <w:trPr>
          <w:trHeight w:val="942"/>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right="4154"/>
              <w:spacing w:after="0"/>
              <w:rPr>
                <w:sz w:val="20"/>
                <w:szCs w:val="20"/>
                <w:color w:val="auto"/>
              </w:rPr>
            </w:pPr>
            <w:r>
              <w:rPr>
                <w:rFonts w:ascii="Times New Roman" w:cs="Times New Roman" w:eastAsia="Times New Roman" w:hAnsi="Times New Roman"/>
                <w:sz w:val="17"/>
                <w:szCs w:val="17"/>
                <w:b w:val="1"/>
                <w:bCs w:val="1"/>
                <w:color w:val="auto"/>
              </w:rPr>
              <w:t>Esperion Therapeutics, Inc.</w:t>
            </w:r>
          </w:p>
        </w:tc>
      </w:tr>
      <w:tr>
        <w:trPr>
          <w:trHeight w:val="227"/>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0" w:type="dxa"/>
            <w:vAlign w:val="bottom"/>
          </w:tcPr>
          <w:p>
            <w:pPr>
              <w:jc w:val="center"/>
              <w:ind w:right="4154"/>
              <w:spacing w:after="0"/>
              <w:rPr>
                <w:sz w:val="20"/>
                <w:szCs w:val="20"/>
                <w:color w:val="auto"/>
              </w:rPr>
            </w:pPr>
            <w:r>
              <w:rPr>
                <w:rFonts w:ascii="Times New Roman" w:cs="Times New Roman" w:eastAsia="Times New Roman" w:hAnsi="Times New Roman"/>
                <w:sz w:val="17"/>
                <w:szCs w:val="17"/>
                <w:b w:val="1"/>
                <w:bCs w:val="1"/>
                <w:color w:val="auto"/>
              </w:rPr>
              <w:t>Index to the Financial Statements</w:t>
            </w:r>
          </w:p>
        </w:tc>
      </w:tr>
      <w:tr>
        <w:trPr>
          <w:trHeight w:val="413"/>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right="4134"/>
              <w:spacing w:after="0"/>
              <w:rPr>
                <w:sz w:val="20"/>
                <w:szCs w:val="20"/>
                <w:color w:val="auto"/>
              </w:rPr>
            </w:pPr>
            <w:r>
              <w:rPr>
                <w:rFonts w:ascii="Times New Roman" w:cs="Times New Roman" w:eastAsia="Times New Roman" w:hAnsi="Times New Roman"/>
                <w:sz w:val="17"/>
                <w:szCs w:val="17"/>
                <w:b w:val="1"/>
                <w:bCs w:val="1"/>
                <w:color w:val="auto"/>
              </w:rPr>
              <w:t>Contents</w:t>
            </w:r>
          </w:p>
        </w:tc>
      </w:tr>
      <w:tr>
        <w:trPr>
          <w:trHeight w:val="413"/>
        </w:trPr>
        <w:tc>
          <w:tcPr>
            <w:tcW w:w="40" w:type="dxa"/>
            <w:vAlign w:val="bottom"/>
          </w:tcPr>
          <w:p>
            <w:pPr>
              <w:spacing w:after="0"/>
              <w:rPr>
                <w:sz w:val="24"/>
                <w:szCs w:val="24"/>
                <w:color w:val="auto"/>
              </w:rPr>
            </w:pPr>
          </w:p>
        </w:tc>
        <w:tc>
          <w:tcPr>
            <w:tcW w:w="4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160" w:type="dxa"/>
            <w:vAlign w:val="bottom"/>
          </w:tcPr>
          <w:p>
            <w:pPr>
              <w:spacing w:after="0"/>
              <w:rPr>
                <w:sz w:val="24"/>
                <w:szCs w:val="24"/>
                <w:color w:val="auto"/>
              </w:rPr>
            </w:pP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F-2</w:t>
            </w:r>
          </w:p>
        </w:tc>
      </w:tr>
      <w:tr>
        <w:trPr>
          <w:trHeight w:val="235"/>
        </w:trPr>
        <w:tc>
          <w:tcPr>
            <w:tcW w:w="40" w:type="dxa"/>
            <w:vAlign w:val="bottom"/>
          </w:tcPr>
          <w:p>
            <w:pPr>
              <w:spacing w:after="0"/>
              <w:rPr>
                <w:sz w:val="20"/>
                <w:szCs w:val="20"/>
                <w:color w:val="auto"/>
              </w:rPr>
            </w:pPr>
          </w:p>
        </w:tc>
        <w:tc>
          <w:tcPr>
            <w:tcW w:w="42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7000" w:type="dxa"/>
            <w:vAlign w:val="bottom"/>
          </w:tcPr>
          <w:p>
            <w:pPr>
              <w:spacing w:after="0"/>
              <w:rPr>
                <w:sz w:val="20"/>
                <w:szCs w:val="20"/>
                <w:color w:val="auto"/>
              </w:rPr>
            </w:pPr>
          </w:p>
        </w:tc>
      </w:tr>
      <w:tr>
        <w:trPr>
          <w:trHeight w:val="184"/>
        </w:trPr>
        <w:tc>
          <w:tcPr>
            <w:tcW w:w="40" w:type="dxa"/>
            <w:vAlign w:val="bottom"/>
          </w:tcPr>
          <w:p>
            <w:pPr>
              <w:spacing w:after="0"/>
              <w:rPr>
                <w:sz w:val="16"/>
                <w:szCs w:val="16"/>
                <w:color w:val="auto"/>
              </w:rPr>
            </w:pPr>
          </w:p>
        </w:tc>
        <w:tc>
          <w:tcPr>
            <w:tcW w:w="4200" w:type="dxa"/>
            <w:vAlign w:val="bottom"/>
            <w:gridSpan w:val="8"/>
          </w:tcPr>
          <w:p>
            <w:pPr>
              <w:spacing w:after="0" w:line="185" w:lineRule="exact"/>
              <w:rPr>
                <w:sz w:val="20"/>
                <w:szCs w:val="20"/>
                <w:color w:val="auto"/>
              </w:rPr>
            </w:pPr>
            <w:r>
              <w:rPr>
                <w:rFonts w:ascii="Times New Roman" w:cs="Times New Roman" w:eastAsia="Times New Roman" w:hAnsi="Times New Roman"/>
                <w:sz w:val="17"/>
                <w:szCs w:val="17"/>
                <w:color w:val="0000FF"/>
              </w:rPr>
              <w:t>Balance Sheets</w:t>
            </w:r>
          </w:p>
        </w:tc>
        <w:tc>
          <w:tcPr>
            <w:tcW w:w="7000" w:type="dxa"/>
            <w:vAlign w:val="bottom"/>
          </w:tcPr>
          <w:p>
            <w:pPr>
              <w:ind w:left="6720"/>
              <w:spacing w:after="0" w:line="185" w:lineRule="exact"/>
              <w:rPr>
                <w:sz w:val="20"/>
                <w:szCs w:val="20"/>
                <w:color w:val="auto"/>
              </w:rPr>
            </w:pPr>
            <w:r>
              <w:rPr>
                <w:rFonts w:ascii="Times New Roman" w:cs="Times New Roman" w:eastAsia="Times New Roman" w:hAnsi="Times New Roman"/>
                <w:sz w:val="17"/>
                <w:szCs w:val="17"/>
                <w:color w:val="auto"/>
              </w:rPr>
              <w:t>F-4</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42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Statements of Operations and Comprehensive Loss</w:t>
            </w: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F-5</w:t>
            </w:r>
          </w:p>
        </w:tc>
      </w:tr>
      <w:tr>
        <w:trPr>
          <w:trHeight w:val="200"/>
        </w:trPr>
        <w:tc>
          <w:tcPr>
            <w:tcW w:w="40" w:type="dxa"/>
            <w:vAlign w:val="bottom"/>
          </w:tcPr>
          <w:p>
            <w:pPr>
              <w:spacing w:after="0"/>
              <w:rPr>
                <w:sz w:val="17"/>
                <w:szCs w:val="17"/>
                <w:color w:val="auto"/>
              </w:rPr>
            </w:pPr>
          </w:p>
        </w:tc>
        <w:tc>
          <w:tcPr>
            <w:tcW w:w="35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Statements of Stockholders’ Deficit</w:t>
            </w:r>
          </w:p>
        </w:tc>
        <w:tc>
          <w:tcPr>
            <w:tcW w:w="680" w:type="dxa"/>
            <w:vAlign w:val="bottom"/>
            <w:gridSpan w:val="2"/>
          </w:tcPr>
          <w:p>
            <w:pPr>
              <w:spacing w:after="0"/>
              <w:rPr>
                <w:sz w:val="17"/>
                <w:szCs w:val="17"/>
                <w:color w:val="auto"/>
              </w:rPr>
            </w:pP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F-6</w:t>
            </w:r>
          </w:p>
        </w:tc>
      </w:tr>
      <w:tr>
        <w:trPr>
          <w:trHeight w:val="200"/>
        </w:trPr>
        <w:tc>
          <w:tcPr>
            <w:tcW w:w="4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Statements of Cash Flows</w:t>
            </w:r>
          </w:p>
        </w:tc>
        <w:tc>
          <w:tcPr>
            <w:tcW w:w="660" w:type="dxa"/>
            <w:vAlign w:val="bottom"/>
            <w:tcBorders>
              <w:top w:val="single" w:sz="8" w:color="0000FF"/>
            </w:tcBorders>
            <w:gridSpan w:val="2"/>
          </w:tcPr>
          <w:p>
            <w:pPr>
              <w:spacing w:after="0"/>
              <w:rPr>
                <w:sz w:val="17"/>
                <w:szCs w:val="17"/>
                <w:color w:val="auto"/>
              </w:rPr>
            </w:pPr>
          </w:p>
        </w:tc>
        <w:tc>
          <w:tcPr>
            <w:tcW w:w="1740" w:type="dxa"/>
            <w:vAlign w:val="bottom"/>
            <w:gridSpan w:val="3"/>
          </w:tcPr>
          <w:p>
            <w:pPr>
              <w:spacing w:after="0"/>
              <w:rPr>
                <w:sz w:val="17"/>
                <w:szCs w:val="17"/>
                <w:color w:val="auto"/>
              </w:rPr>
            </w:pP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F-7</w:t>
            </w:r>
          </w:p>
        </w:tc>
      </w:tr>
      <w:tr>
        <w:trPr>
          <w:trHeight w:val="200"/>
        </w:trPr>
        <w:tc>
          <w:tcPr>
            <w:tcW w:w="40" w:type="dxa"/>
            <w:vAlign w:val="bottom"/>
          </w:tcPr>
          <w:p>
            <w:pPr>
              <w:spacing w:after="0"/>
              <w:rPr>
                <w:sz w:val="17"/>
                <w:szCs w:val="17"/>
                <w:color w:val="auto"/>
              </w:rPr>
            </w:pPr>
          </w:p>
        </w:tc>
        <w:tc>
          <w:tcPr>
            <w:tcW w:w="42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Financial Statements</w:t>
            </w: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F-8</w:t>
            </w:r>
          </w:p>
        </w:tc>
      </w:tr>
      <w:tr>
        <w:trPr>
          <w:trHeight w:val="846"/>
        </w:trPr>
        <w:tc>
          <w:tcPr>
            <w:tcW w:w="4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right="4154"/>
              <w:spacing w:after="0"/>
              <w:rPr>
                <w:sz w:val="20"/>
                <w:szCs w:val="20"/>
                <w:color w:val="auto"/>
              </w:rPr>
            </w:pPr>
            <w:r>
              <w:rPr>
                <w:rFonts w:ascii="Times New Roman" w:cs="Times New Roman" w:eastAsia="Times New Roman" w:hAnsi="Times New Roman"/>
                <w:sz w:val="17"/>
                <w:szCs w:val="17"/>
                <w:color w:val="auto"/>
              </w:rPr>
              <w:t>F-1</w:t>
            </w:r>
          </w:p>
        </w:tc>
      </w:tr>
      <w:tr>
        <w:trPr>
          <w:trHeight w:val="109"/>
        </w:trPr>
        <w:tc>
          <w:tcPr>
            <w:tcW w:w="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Stockholders and the Board of Directors of Esperion Therapeutics, Inc.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We have audited the accompanying balance sheets of Esperion Therapeutics, Inc. (the Company) as of December 31, 2025 and 2024, the related statements of operations and comprehensive loss, stockholders'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10, 2026 expressed an adverse opinion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Valuation of royalty sale liability</w:t>
      </w:r>
    </w:p>
    <w:p>
      <w:pPr>
        <w:spacing w:after="0" w:line="43" w:lineRule="exact"/>
        <w:rPr>
          <w:sz w:val="20"/>
          <w:szCs w:val="20"/>
          <w:color w:val="auto"/>
        </w:rPr>
      </w:pPr>
    </w:p>
    <w:p>
      <w:pPr>
        <w:ind w:left="1840" w:hanging="1821"/>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Description of the Matter </w:t>
      </w:r>
      <w:r>
        <w:rPr>
          <w:rFonts w:ascii="Times New Roman" w:cs="Times New Roman" w:eastAsia="Times New Roman" w:hAnsi="Times New Roman"/>
          <w:sz w:val="17"/>
          <w:szCs w:val="17"/>
          <w:color w:val="auto"/>
        </w:rPr>
        <w:t>As described in Notes 2 and 11 to the financial statements, the Company maintains a Royalty Purchase Agreement (“RPA”).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carrying amount of the royalty sale liability at December 31, 2025, was $295.8 million.</w:t>
      </w:r>
    </w:p>
    <w:p>
      <w:pPr>
        <w:spacing w:after="0" w:line="203" w:lineRule="exact"/>
        <w:rPr>
          <w:sz w:val="20"/>
          <w:szCs w:val="20"/>
          <w:color w:val="auto"/>
        </w:rPr>
      </w:pPr>
    </w:p>
    <w:p>
      <w:pPr>
        <w:ind w:left="1840"/>
        <w:spacing w:after="0" w:line="247" w:lineRule="auto"/>
        <w:rPr>
          <w:sz w:val="20"/>
          <w:szCs w:val="20"/>
          <w:color w:val="auto"/>
        </w:rPr>
      </w:pPr>
      <w:r>
        <w:rPr>
          <w:rFonts w:ascii="Times New Roman" w:cs="Times New Roman" w:eastAsia="Times New Roman" w:hAnsi="Times New Roman"/>
          <w:sz w:val="17"/>
          <w:szCs w:val="17"/>
          <w:color w:val="auto"/>
        </w:rPr>
        <w:t xml:space="preserve">In connection with the RPA, the Company evaluated the arrangement and determined it should be treated as a debt instrument according to ASC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Company imputes interest expense associated with this liability using the effective interest rate method. The effective interest rate is calculated based on the rate that would enable the liability to be repaid in full over the anticipated life of the arrangement. The interest rate on this liability may vary during the term of the RPA depending on a number of factors, including the level and timing of forecasted royalty sales. The Company evaluates the interest rate quarterly based on its expectations of forecasted royalty sales from its license partner, historical experience, third-party forecasts and current market conditions utilizing the prospective method. A significant increase or decrease in future royalty sales could materially impact the royalty sale liability, interest expense and time period for repayment.</w:t>
      </w:r>
    </w:p>
    <w:p>
      <w:pPr>
        <w:spacing w:after="0" w:line="199" w:lineRule="exact"/>
        <w:rPr>
          <w:sz w:val="20"/>
          <w:szCs w:val="20"/>
          <w:color w:val="auto"/>
        </w:rPr>
      </w:pPr>
    </w:p>
    <w:p>
      <w:pPr>
        <w:ind w:left="1840" w:right="100"/>
        <w:spacing w:after="0" w:line="263" w:lineRule="auto"/>
        <w:rPr>
          <w:sz w:val="20"/>
          <w:szCs w:val="20"/>
          <w:color w:val="auto"/>
        </w:rPr>
      </w:pPr>
      <w:r>
        <w:rPr>
          <w:rFonts w:ascii="Times New Roman" w:cs="Times New Roman" w:eastAsia="Times New Roman" w:hAnsi="Times New Roman"/>
          <w:sz w:val="17"/>
          <w:szCs w:val="17"/>
          <w:color w:val="auto"/>
        </w:rPr>
        <w:t>Auditing the valuation of the royalty sale liability was highly judgmental due to the estimation uncertainty in determining the effective interest rate. The Company’s effective interest rate model includes royalty sales forecasts which are affected by expectations about future market conditions.</w:t>
      </w:r>
    </w:p>
    <w:p>
      <w:pPr>
        <w:spacing w:after="0" w:line="232"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7"/>
          <w:szCs w:val="17"/>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the accounting for the RPA,</w:t>
      </w:r>
    </w:p>
    <w:p>
      <w:pPr>
        <w:spacing w:after="0" w:line="20"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7"/>
          <w:szCs w:val="17"/>
          <w:i w:val="1"/>
          <w:iCs w:val="1"/>
          <w:color w:val="auto"/>
        </w:rPr>
        <w:t>Matter in Our Audit</w:t>
      </w:r>
      <w:r>
        <w:rPr>
          <w:sz w:val="20"/>
          <w:szCs w:val="20"/>
          <w:color w:val="auto"/>
        </w:rPr>
        <w:tab/>
      </w:r>
      <w:r>
        <w:rPr>
          <w:rFonts w:ascii="Times New Roman" w:cs="Times New Roman" w:eastAsia="Times New Roman" w:hAnsi="Times New Roman"/>
          <w:sz w:val="17"/>
          <w:szCs w:val="17"/>
          <w:color w:val="auto"/>
        </w:rPr>
        <w:t>including management's review of the underlying data used in the effective interest rate model.</w:t>
      </w:r>
    </w:p>
    <w:p>
      <w:pPr>
        <w:spacing w:after="0" w:line="200" w:lineRule="exact"/>
        <w:rPr>
          <w:sz w:val="20"/>
          <w:szCs w:val="20"/>
          <w:color w:val="auto"/>
        </w:rPr>
      </w:pPr>
    </w:p>
    <w:p>
      <w:pPr>
        <w:ind w:left="1840"/>
        <w:spacing w:after="0" w:line="254" w:lineRule="auto"/>
        <w:rPr>
          <w:sz w:val="20"/>
          <w:szCs w:val="20"/>
          <w:color w:val="auto"/>
        </w:rPr>
      </w:pPr>
      <w:r>
        <w:rPr>
          <w:rFonts w:ascii="Times New Roman" w:cs="Times New Roman" w:eastAsia="Times New Roman" w:hAnsi="Times New Roman"/>
          <w:sz w:val="17"/>
          <w:szCs w:val="17"/>
          <w:color w:val="auto"/>
        </w:rPr>
        <w:t>Our audit procedures included, among others, assessing the underlying data used by the Company in its effective interest rate model. We evaluated the significant assumptions used within the effective interest rate model by assessing the relevance and reliability of third-party data used in management’s estimation of forecasted royalty sales. We also performed sensitivity analyses to evaluate the impact of changes, in the forecasted royalty sales, to the effective interest rate, associated interest expense and the time period for repayment.</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Detroit, Michigan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3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clinical development costs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inventory costs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prepaid and current assets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operating lease assets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465,886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65,068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notes, net of issuance costs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clinical development costs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variable consideration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Royalty sale liability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 from collaborations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Convertible notes, net of issuance costs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Royalty sale liability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767,851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2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w w:val="98"/>
              </w:rPr>
              <w:t>Preferred stock, $0.001 par value; 5,000,000 shares authorized and no shares issued or outstanding as of December 31, 2025 and</w:t>
            </w: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24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w w:val="98"/>
              </w:rPr>
              <w:t>Common stock, $0.001 par value; 480,000,000 shares authorized as of December 31, 2025 and December 31, 2024; 247,210,341</w:t>
            </w:r>
          </w:p>
        </w:tc>
        <w:tc>
          <w:tcPr>
            <w:tcW w:w="2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at December 31, 2025 and 197,846,661 shares issued at December 31, 2024</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1,994,198 shares at December 31, 2025 and December 31, 2024</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(1,623,711)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(301,965)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465,886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See accompanying notes to the financial statements.</w:t>
      </w: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Statements of Operations and Comprehensive Loss</w:t>
      </w:r>
    </w:p>
    <w:p>
      <w:pPr>
        <w:spacing w:after="0" w:line="2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53"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57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0"/>
        </w:trPr>
        <w:tc>
          <w:tcPr>
            <w:tcW w:w="5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 sales, net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159,569</w:t>
            </w:r>
          </w:p>
        </w:tc>
        <w:tc>
          <w:tcPr>
            <w:tcW w:w="10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115,725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78,335</w:t>
            </w:r>
          </w:p>
        </w:tc>
      </w:tr>
      <w:tr>
        <w:trPr>
          <w:trHeight w:val="22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Collaboration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37,999</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116,334</w:t>
            </w:r>
          </w:p>
        </w:tc>
      </w:tr>
      <w:tr>
        <w:trPr>
          <w:trHeight w:val="238"/>
        </w:trPr>
        <w:tc>
          <w:tcPr>
            <w:tcW w:w="5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goods sold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43,267</w:t>
            </w:r>
          </w:p>
        </w:tc>
      </w:tr>
      <w:tr>
        <w:trPr>
          <w:trHeight w:val="220"/>
        </w:trPr>
        <w:tc>
          <w:tcPr>
            <w:tcW w:w="5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86,107</w:t>
            </w:r>
          </w:p>
        </w:tc>
      </w:tr>
      <w:tr>
        <w:trPr>
          <w:trHeight w:val="22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142,523</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342,862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277,912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271,897</w:t>
            </w:r>
          </w:p>
        </w:tc>
      </w:tr>
      <w:tr>
        <w:trPr>
          <w:trHeight w:val="238"/>
        </w:trPr>
        <w:tc>
          <w:tcPr>
            <w:tcW w:w="5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(155,563)</w:t>
            </w:r>
          </w:p>
        </w:tc>
      </w:tr>
      <w:tr>
        <w:trPr>
          <w:trHeight w:val="258"/>
        </w:trPr>
        <w:tc>
          <w:tcPr>
            <w:tcW w:w="5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(58,976)</w:t>
            </w: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 and exchange transaction</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5,291</w:t>
            </w:r>
          </w:p>
        </w:tc>
      </w:tr>
      <w:tr>
        <w:trPr>
          <w:trHeight w:val="21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income taxes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(209,248)</w:t>
            </w:r>
          </w:p>
        </w:tc>
      </w:tr>
      <w:tr>
        <w:trPr>
          <w:trHeight w:val="258"/>
        </w:trPr>
        <w:tc>
          <w:tcPr>
            <w:tcW w:w="5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taxes on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(22,682)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(209,248)</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5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58"/>
        </w:trPr>
        <w:tc>
          <w:tcPr>
            <w:tcW w:w="5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7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Weighted-average shares outstanding (basic and diluted)</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207,865,080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187,181,856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103,106,616</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5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(loss) gain:</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gain on investments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(22,682)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(209,246)</w:t>
            </w: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40"/>
          </w:cols>
          <w:pgMar w:left="320" w:top="123" w:right="7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Balance December 31, 2022</w:t>
      </w:r>
    </w:p>
    <w:p>
      <w:pPr>
        <w:spacing w:after="0" w:line="23" w:lineRule="exact"/>
        <w:rPr>
          <w:sz w:val="20"/>
          <w:szCs w:val="20"/>
          <w:color w:val="auto"/>
        </w:rPr>
      </w:pPr>
    </w:p>
    <w:p>
      <w:pPr>
        <w:ind w:left="260" w:right="200"/>
        <w:spacing w:after="0" w:line="256" w:lineRule="auto"/>
        <w:rPr>
          <w:sz w:val="20"/>
          <w:szCs w:val="20"/>
          <w:color w:val="auto"/>
        </w:rPr>
      </w:pPr>
      <w:r>
        <w:rPr>
          <w:rFonts w:ascii="Times New Roman" w:cs="Times New Roman" w:eastAsia="Times New Roman" w:hAnsi="Times New Roman"/>
          <w:sz w:val="14"/>
          <w:szCs w:val="14"/>
          <w:color w:val="auto"/>
        </w:rPr>
        <w:t>Issuance of common stock, warrants, and pre-funded warrants, net of issuance costs</w:t>
      </w:r>
    </w:p>
    <w:p>
      <w:pPr>
        <w:spacing w:after="0" w:line="2" w:lineRule="exact"/>
        <w:rPr>
          <w:sz w:val="20"/>
          <w:szCs w:val="20"/>
          <w:color w:val="auto"/>
        </w:rPr>
      </w:pPr>
    </w:p>
    <w:p>
      <w:pPr>
        <w:ind w:left="260" w:right="100"/>
        <w:spacing w:after="0" w:line="221" w:lineRule="auto"/>
        <w:rPr>
          <w:sz w:val="20"/>
          <w:szCs w:val="20"/>
          <w:color w:val="auto"/>
        </w:rPr>
      </w:pPr>
      <w:r>
        <w:rPr>
          <w:rFonts w:ascii="Times New Roman" w:cs="Times New Roman" w:eastAsia="Times New Roman" w:hAnsi="Times New Roman"/>
          <w:sz w:val="16"/>
          <w:szCs w:val="16"/>
          <w:color w:val="auto"/>
        </w:rPr>
        <w:t>Issuance of common stock from ATM Program, net of issuance costs</w:t>
      </w:r>
    </w:p>
    <w:p>
      <w:pPr>
        <w:spacing w:after="0" w:line="9" w:lineRule="exact"/>
        <w:rPr>
          <w:sz w:val="20"/>
          <w:szCs w:val="20"/>
          <w:color w:val="auto"/>
        </w:rPr>
      </w:pPr>
    </w:p>
    <w:p>
      <w:pPr>
        <w:ind w:left="260" w:right="20"/>
        <w:spacing w:after="0" w:line="221" w:lineRule="auto"/>
        <w:rPr>
          <w:sz w:val="20"/>
          <w:szCs w:val="20"/>
          <w:color w:val="auto"/>
        </w:rPr>
      </w:pPr>
      <w:r>
        <w:rPr>
          <w:rFonts w:ascii="Times New Roman" w:cs="Times New Roman" w:eastAsia="Times New Roman" w:hAnsi="Times New Roman"/>
          <w:sz w:val="16"/>
          <w:szCs w:val="16"/>
          <w:color w:val="auto"/>
        </w:rPr>
        <w:t>Vesting of restricted stock units and performance-based restricted stock units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Vesting of ESPP Shares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Exercise of pre-funded warrants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Exercise of warrants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Other comprehensive gain</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Net loss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Balance December 31, 2023</w:t>
      </w:r>
    </w:p>
    <w:p>
      <w:pPr>
        <w:spacing w:after="0" w:line="23" w:lineRule="exact"/>
        <w:rPr>
          <w:sz w:val="20"/>
          <w:szCs w:val="20"/>
          <w:color w:val="auto"/>
        </w:rPr>
      </w:pPr>
    </w:p>
    <w:p>
      <w:pPr>
        <w:ind w:left="260"/>
        <w:spacing w:after="0" w:line="231" w:lineRule="auto"/>
        <w:rPr>
          <w:sz w:val="20"/>
          <w:szCs w:val="20"/>
          <w:color w:val="auto"/>
        </w:rPr>
      </w:pPr>
      <w:r>
        <w:rPr>
          <w:rFonts w:ascii="Times New Roman" w:cs="Times New Roman" w:eastAsia="Times New Roman" w:hAnsi="Times New Roman"/>
          <w:sz w:val="16"/>
          <w:szCs w:val="16"/>
          <w:color w:val="auto"/>
        </w:rPr>
        <w:t>Issuance of common stock, net of issuance costs</w:t>
      </w:r>
    </w:p>
    <w:p>
      <w:pPr>
        <w:spacing w:after="0" w:line="8" w:lineRule="exact"/>
        <w:rPr>
          <w:sz w:val="20"/>
          <w:szCs w:val="20"/>
          <w:color w:val="auto"/>
        </w:rPr>
      </w:pPr>
    </w:p>
    <w:p>
      <w:pPr>
        <w:ind w:left="260" w:right="100"/>
        <w:spacing w:after="0" w:line="221" w:lineRule="auto"/>
        <w:rPr>
          <w:sz w:val="20"/>
          <w:szCs w:val="20"/>
          <w:color w:val="auto"/>
        </w:rPr>
      </w:pPr>
      <w:r>
        <w:rPr>
          <w:rFonts w:ascii="Times New Roman" w:cs="Times New Roman" w:eastAsia="Times New Roman" w:hAnsi="Times New Roman"/>
          <w:sz w:val="16"/>
          <w:szCs w:val="16"/>
          <w:color w:val="auto"/>
        </w:rPr>
        <w:t>Issuance of common stock from ATM Program, net of issuance costs</w:t>
      </w:r>
    </w:p>
    <w:p>
      <w:pPr>
        <w:spacing w:after="0" w:line="9" w:lineRule="exact"/>
        <w:rPr>
          <w:sz w:val="20"/>
          <w:szCs w:val="20"/>
          <w:color w:val="auto"/>
        </w:rPr>
      </w:pPr>
    </w:p>
    <w:p>
      <w:pPr>
        <w:ind w:left="260" w:right="20"/>
        <w:spacing w:after="0" w:line="221" w:lineRule="auto"/>
        <w:rPr>
          <w:sz w:val="20"/>
          <w:szCs w:val="20"/>
          <w:color w:val="auto"/>
        </w:rPr>
      </w:pPr>
      <w:r>
        <w:rPr>
          <w:rFonts w:ascii="Times New Roman" w:cs="Times New Roman" w:eastAsia="Times New Roman" w:hAnsi="Times New Roman"/>
          <w:sz w:val="16"/>
          <w:szCs w:val="16"/>
          <w:color w:val="auto"/>
        </w:rPr>
        <w:t>Vesting of restricted stock units and performance-based restricted stock units</w:t>
      </w:r>
    </w:p>
    <w:p>
      <w:pPr>
        <w:spacing w:after="0" w:line="9" w:lineRule="exact"/>
        <w:rPr>
          <w:sz w:val="20"/>
          <w:szCs w:val="20"/>
          <w:color w:val="auto"/>
        </w:rPr>
      </w:pPr>
    </w:p>
    <w:p>
      <w:pPr>
        <w:ind w:left="260" w:right="420"/>
        <w:spacing w:after="0" w:line="308" w:lineRule="auto"/>
        <w:rPr>
          <w:sz w:val="20"/>
          <w:szCs w:val="20"/>
          <w:color w:val="auto"/>
        </w:rPr>
      </w:pPr>
      <w:r>
        <w:rPr>
          <w:rFonts w:ascii="Times New Roman" w:cs="Times New Roman" w:eastAsia="Times New Roman" w:hAnsi="Times New Roman"/>
          <w:sz w:val="14"/>
          <w:szCs w:val="14"/>
          <w:color w:val="auto"/>
        </w:rPr>
        <w:t>Stock-based compensation Exercise of warrants</w:t>
      </w:r>
    </w:p>
    <w:p>
      <w:pPr>
        <w:ind w:left="260" w:right="40"/>
        <w:spacing w:after="0" w:line="269" w:lineRule="auto"/>
        <w:rPr>
          <w:sz w:val="20"/>
          <w:szCs w:val="20"/>
          <w:color w:val="auto"/>
        </w:rPr>
      </w:pPr>
      <w:r>
        <w:rPr>
          <w:rFonts w:ascii="Times New Roman" w:cs="Times New Roman" w:eastAsia="Times New Roman" w:hAnsi="Times New Roman"/>
          <w:sz w:val="14"/>
          <w:szCs w:val="14"/>
          <w:color w:val="auto"/>
        </w:rPr>
        <w:t>Exercise of stock options and performance-based stock options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Net loss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Balance December 31, 2024</w:t>
      </w:r>
    </w:p>
    <w:p>
      <w:pPr>
        <w:spacing w:after="0" w:line="23" w:lineRule="exact"/>
        <w:rPr>
          <w:sz w:val="20"/>
          <w:szCs w:val="20"/>
          <w:color w:val="auto"/>
        </w:rPr>
      </w:pPr>
    </w:p>
    <w:p>
      <w:pPr>
        <w:ind w:left="260" w:right="100"/>
        <w:spacing w:after="0" w:line="269" w:lineRule="auto"/>
        <w:rPr>
          <w:sz w:val="20"/>
          <w:szCs w:val="20"/>
          <w:color w:val="auto"/>
        </w:rPr>
      </w:pPr>
      <w:r>
        <w:rPr>
          <w:rFonts w:ascii="Times New Roman" w:cs="Times New Roman" w:eastAsia="Times New Roman" w:hAnsi="Times New Roman"/>
          <w:sz w:val="14"/>
          <w:szCs w:val="14"/>
          <w:color w:val="auto"/>
        </w:rPr>
        <w:t>Issuance of common stock from offering, net of issuance costs</w:t>
      </w:r>
    </w:p>
    <w:p>
      <w:pPr>
        <w:spacing w:after="0" w:line="1" w:lineRule="exact"/>
        <w:rPr>
          <w:sz w:val="20"/>
          <w:szCs w:val="20"/>
          <w:color w:val="auto"/>
        </w:rPr>
      </w:pPr>
    </w:p>
    <w:p>
      <w:pPr>
        <w:ind w:left="260" w:right="100"/>
        <w:spacing w:after="0" w:line="221" w:lineRule="auto"/>
        <w:rPr>
          <w:sz w:val="20"/>
          <w:szCs w:val="20"/>
          <w:color w:val="auto"/>
        </w:rPr>
      </w:pPr>
      <w:r>
        <w:rPr>
          <w:rFonts w:ascii="Times New Roman" w:cs="Times New Roman" w:eastAsia="Times New Roman" w:hAnsi="Times New Roman"/>
          <w:sz w:val="16"/>
          <w:szCs w:val="16"/>
          <w:color w:val="auto"/>
        </w:rPr>
        <w:t>Issuance of common stock from ATM Program, net of issuance costs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Vesting of restricted stock units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Vesting of ESPP shares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Exercise of warrants</w:t>
      </w:r>
    </w:p>
    <w:p>
      <w:pPr>
        <w:spacing w:after="0" w:line="23" w:lineRule="exact"/>
        <w:rPr>
          <w:sz w:val="20"/>
          <w:szCs w:val="20"/>
          <w:color w:val="auto"/>
        </w:rPr>
      </w:pPr>
    </w:p>
    <w:p>
      <w:pPr>
        <w:ind w:left="260" w:right="40"/>
        <w:spacing w:after="0" w:line="269" w:lineRule="auto"/>
        <w:rPr>
          <w:sz w:val="20"/>
          <w:szCs w:val="20"/>
          <w:color w:val="auto"/>
        </w:rPr>
      </w:pPr>
      <w:r>
        <w:rPr>
          <w:rFonts w:ascii="Times New Roman" w:cs="Times New Roman" w:eastAsia="Times New Roman" w:hAnsi="Times New Roman"/>
          <w:sz w:val="14"/>
          <w:szCs w:val="14"/>
          <w:color w:val="auto"/>
        </w:rPr>
        <w:t>Exercise of stock options and performance-based stock options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Net loss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Balance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Statements of Stockholders’ Deficit</w:t>
      </w:r>
    </w:p>
    <w:p>
      <w:pPr>
        <w:spacing w:after="0" w:line="218"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7"/>
                <w:szCs w:val="17"/>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07"/>
        </w:trPr>
        <w:tc>
          <w:tcPr>
            <w:tcW w:w="21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Treasury</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Comprehensive</w:t>
            </w:r>
          </w:p>
        </w:tc>
        <w:tc>
          <w:tcPr>
            <w:tcW w:w="160" w:type="dxa"/>
            <w:vAlign w:val="bottom"/>
          </w:tcPr>
          <w:p>
            <w:pPr>
              <w:spacing w:after="0"/>
              <w:rPr>
                <w:sz w:val="17"/>
                <w:szCs w:val="17"/>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r>
      <w:tr>
        <w:trPr>
          <w:trHeight w:val="204"/>
        </w:trPr>
        <w:tc>
          <w:tcPr>
            <w:tcW w:w="11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Capital</w:t>
            </w:r>
          </w:p>
        </w:tc>
        <w:tc>
          <w:tcPr>
            <w:tcW w:w="120" w:type="dxa"/>
            <w:vAlign w:val="bottom"/>
          </w:tcPr>
          <w:p>
            <w:pPr>
              <w:spacing w:after="0"/>
              <w:rPr>
                <w:sz w:val="17"/>
                <w:szCs w:val="17"/>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60" w:type="dxa"/>
            <w:vAlign w:val="bottom"/>
          </w:tcPr>
          <w:p>
            <w:pPr>
              <w:spacing w:after="0"/>
              <w:rPr>
                <w:sz w:val="17"/>
                <w:szCs w:val="17"/>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6"/>
              </w:rPr>
              <w:t>Deficit</w:t>
            </w:r>
          </w:p>
        </w:tc>
      </w:tr>
      <w:tr>
        <w:trPr>
          <w:trHeight w:val="173"/>
        </w:trPr>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74,570,198</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1,071,183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(1,340,036)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(54,998)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(323,778)</w:t>
            </w:r>
          </w:p>
        </w:tc>
      </w:tr>
      <w:tr>
        <w:trPr>
          <w:trHeight w:val="509"/>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12,205,000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52,428</w:t>
            </w:r>
          </w:p>
        </w:tc>
      </w:tr>
      <w:tr>
        <w:trPr>
          <w:trHeight w:val="51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3,312,908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4,448</w:t>
            </w:r>
          </w:p>
        </w:tc>
      </w:tr>
      <w:tr>
        <w:trPr>
          <w:trHeight w:val="51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1,034,631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207"/>
        </w:trPr>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11,958</w:t>
            </w:r>
          </w:p>
        </w:tc>
      </w:tr>
      <w:tr>
        <w:trPr>
          <w:trHeight w:val="20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20,965,747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5,850,747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8,434</w:t>
            </w:r>
          </w:p>
        </w:tc>
      </w:tr>
      <w:tr>
        <w:trPr>
          <w:trHeight w:val="207"/>
        </w:trPr>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7"/>
        </w:trPr>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(209,248)</w:t>
            </w:r>
          </w:p>
        </w:tc>
      </w:tr>
      <w:tr>
        <w:trPr>
          <w:trHeight w:val="23"/>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0"/>
        </w:trPr>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118,210,315</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1,149,170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(1,549,284)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(54,998)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(454,994)</w:t>
            </w:r>
          </w:p>
        </w:tc>
      </w:tr>
      <w:tr>
        <w:trPr>
          <w:trHeight w:val="326"/>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65,205,000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90,672</w:t>
            </w:r>
          </w:p>
        </w:tc>
      </w:tr>
      <w:tr>
        <w:trPr>
          <w:trHeight w:val="51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51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1,767,857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7"/>
        </w:trPr>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11,993</w:t>
            </w:r>
          </w:p>
        </w:tc>
      </w:tr>
      <w:tr>
        <w:trPr>
          <w:trHeight w:val="20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10,272,783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14,808</w:t>
            </w:r>
          </w:p>
        </w:tc>
      </w:tr>
      <w:tr>
        <w:trPr>
          <w:trHeight w:val="362"/>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7"/>
        </w:trPr>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(51,745)</w:t>
            </w:r>
          </w:p>
        </w:tc>
      </w:tr>
      <w:tr>
        <w:trPr>
          <w:trHeight w:val="23"/>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0"/>
        </w:trPr>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195,852,463</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1,267,109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(1,601,029)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(54,998)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(388,722)</w:t>
            </w:r>
          </w:p>
        </w:tc>
      </w:tr>
      <w:tr>
        <w:trPr>
          <w:trHeight w:val="326"/>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31,065,000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72,596</w:t>
            </w:r>
          </w:p>
        </w:tc>
      </w:tr>
      <w:tr>
        <w:trPr>
          <w:trHeight w:val="51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7,661,505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15,408</w:t>
            </w:r>
          </w:p>
        </w:tc>
      </w:tr>
      <w:tr>
        <w:trPr>
          <w:trHeight w:val="20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2,627,262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r>
      <w:tr>
        <w:trPr>
          <w:trHeight w:val="207"/>
        </w:trPr>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9,870</w:t>
            </w:r>
          </w:p>
        </w:tc>
      </w:tr>
      <w:tr>
        <w:trPr>
          <w:trHeight w:val="207"/>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7,178,729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r>
      <w:tr>
        <w:trPr>
          <w:trHeight w:val="362"/>
        </w:trPr>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7"/>
        </w:trPr>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(22,682)</w:t>
            </w:r>
          </w:p>
        </w:tc>
      </w:tr>
      <w:tr>
        <w:trPr>
          <w:trHeight w:val="23"/>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0"/>
        </w:trPr>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245,216,143</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1,376,499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(1,623,711)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(54,998)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(301,965)</w:t>
            </w:r>
          </w:p>
        </w:tc>
      </w:tr>
      <w:tr>
        <w:trPr>
          <w:trHeight w:val="26"/>
        </w:trPr>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-5283200</wp:posOffset>
            </wp:positionV>
            <wp:extent cx="6842760" cy="1314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6842760" cy="13144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-4824095</wp:posOffset>
            </wp:positionV>
            <wp:extent cx="6842760" cy="3282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6842760" cy="32829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-4167505</wp:posOffset>
            </wp:positionV>
            <wp:extent cx="6842760" cy="1314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6842760" cy="13144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-3904615</wp:posOffset>
            </wp:positionV>
            <wp:extent cx="6842760" cy="1314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6842760" cy="13144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-3642360</wp:posOffset>
            </wp:positionV>
            <wp:extent cx="6842760" cy="1314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6842760" cy="13144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-3379470</wp:posOffset>
            </wp:positionV>
            <wp:extent cx="6842760" cy="1314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6842760" cy="13144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-3018790</wp:posOffset>
            </wp:positionV>
            <wp:extent cx="6842760" cy="3282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6842760" cy="32829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-2362200</wp:posOffset>
            </wp:positionV>
            <wp:extent cx="6842760" cy="1314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6842760" cy="13144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-2099945</wp:posOffset>
            </wp:positionV>
            <wp:extent cx="6842760" cy="2298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6842760" cy="22987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-1738630</wp:posOffset>
            </wp:positionV>
            <wp:extent cx="6842760" cy="1314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6842760" cy="13144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-1377950</wp:posOffset>
            </wp:positionV>
            <wp:extent cx="6842760" cy="3282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6842760" cy="32829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-918210</wp:posOffset>
            </wp:positionV>
            <wp:extent cx="6842760" cy="1314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6842760" cy="13144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-655955</wp:posOffset>
            </wp:positionV>
            <wp:extent cx="6842760" cy="1314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6842760" cy="13144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-294640</wp:posOffset>
            </wp:positionV>
            <wp:extent cx="6842760" cy="1314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6842760" cy="131445"/>
                    </a:xfrm>
                    <a:prstGeom prst="rect">
                      <a:avLst/>
                    </a:prstGeom>
                    <a:noFill/>
                  </pic:spPr>
                </pic:pic>
              </a:graphicData>
            </a:graphic>
          </wp:anchor>
        </w:drawing>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34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70485</wp:posOffset>
            </wp:positionV>
            <wp:extent cx="716343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2">
            <w:col w:w="2340" w:space="60"/>
            <w:col w:w="8620"/>
          </w:cols>
          <w:pgMar w:left="320" w:top="123" w:right="5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46"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6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68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(22,682)</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(51,745)</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(209,248)</w:t>
            </w: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6"/>
        </w:trPr>
        <w:tc>
          <w:tcPr>
            <w:tcW w:w="6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Non-cash loss on extinguishment of debt and exchange transaction</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Non-cash royalty revenue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Paid-in-kind interest on long-term debt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Non-cash interest expense related to the revenue interest liability</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46,679</w:t>
            </w:r>
          </w:p>
        </w:tc>
      </w:tr>
      <w:tr>
        <w:trPr>
          <w:trHeight w:val="186"/>
        </w:trPr>
        <w:tc>
          <w:tcPr>
            <w:tcW w:w="6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Non-cash interest expense related to the royalty sale liability</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11,958</w:t>
            </w:r>
          </w:p>
        </w:tc>
      </w:tr>
      <w:tr>
        <w:trPr>
          <w:trHeight w:val="186"/>
        </w:trPr>
        <w:tc>
          <w:tcPr>
            <w:tcW w:w="6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expense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01"/>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Accretion and amortization of premiums and discounts on investments</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186"/>
        </w:trPr>
        <w:tc>
          <w:tcPr>
            <w:tcW w:w="6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6"/>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(14,765)</w:t>
            </w:r>
          </w:p>
        </w:tc>
      </w:tr>
      <w:tr>
        <w:trPr>
          <w:trHeight w:val="201"/>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Prepaids and other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6,192</w:t>
            </w:r>
          </w:p>
        </w:tc>
      </w:tr>
      <w:tr>
        <w:trPr>
          <w:trHeight w:val="186"/>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21,895</w:t>
            </w:r>
          </w:p>
        </w:tc>
      </w:tr>
      <w:tr>
        <w:trPr>
          <w:trHeight w:val="201"/>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(30,422)</w:t>
            </w:r>
          </w:p>
        </w:tc>
      </w:tr>
      <w:tr>
        <w:trPr>
          <w:trHeight w:val="186"/>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8,678</w:t>
            </w:r>
          </w:p>
        </w:tc>
      </w:tr>
      <w:tr>
        <w:trPr>
          <w:trHeight w:val="201"/>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22,097</w:t>
            </w:r>
          </w:p>
        </w:tc>
      </w:tr>
      <w:tr>
        <w:trPr>
          <w:trHeight w:val="187"/>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(13,093)</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(135,487)</w:t>
            </w:r>
          </w:p>
        </w:tc>
      </w:tr>
      <w:tr>
        <w:trPr>
          <w:trHeight w:val="188"/>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sales/maturities of investments</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42,500</w:t>
            </w:r>
          </w:p>
        </w:tc>
      </w:tr>
      <w:tr>
        <w:trPr>
          <w:trHeight w:val="187"/>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9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42,500</w:t>
            </w:r>
          </w:p>
        </w:tc>
      </w:tr>
      <w:tr>
        <w:trPr>
          <w:trHeight w:val="188"/>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royalty sale liability</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Payment of royalty sale liability issuance costs</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or principal payment of revenue interest liability</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Payments on revenue interest liability</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(15,506)</w:t>
            </w: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credit agreement, net of issuance costs</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convertible notes, net of issuance costs</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convertible notes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52,428</w:t>
            </w: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common stock from ATM Program, net of issuance costs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w:t>
            </w:r>
          </w:p>
        </w:tc>
      </w:tr>
      <w:tr>
        <w:trPr>
          <w:trHeight w:val="18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 of warrants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9,069</w:t>
            </w: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of issuance costs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86,484</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50,460</w:t>
            </w:r>
          </w:p>
        </w:tc>
      </w:tr>
      <w:tr>
        <w:trPr>
          <w:trHeight w:val="179"/>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(42,527)</w:t>
            </w:r>
          </w:p>
        </w:tc>
      </w:tr>
      <w:tr>
        <w:trPr>
          <w:trHeight w:val="19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at beginning of period</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144,761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82,248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124,775</w:t>
            </w:r>
          </w:p>
        </w:tc>
      </w:tr>
      <w:tr>
        <w:trPr>
          <w:trHeight w:val="194"/>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167,852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144,761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82,248</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0"/>
        </w:trPr>
        <w:tc>
          <w:tcPr>
            <w:tcW w:w="68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Issuance costs not yet paid</w:t>
            </w: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Non-cash right of use asset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 paid (refer to Note 17)</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w:t>
            </w:r>
          </w:p>
        </w:tc>
      </w:tr>
    </w:tbl>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See accompanying notes to the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 and Basis of Presentation</w:t>
      </w:r>
    </w:p>
    <w:p>
      <w:pPr>
        <w:spacing w:after="0" w:line="20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Esperion Therapeutics, Inc. ("the Company” or "Esperion") is a commercial stage biopharmaceutical company currently focused on bringing new medicines to patients that address unmet medical needs. The Company has developed and is commercializing U.S. Food and Drug Administration (“FDA”) approved oral, once-daily, non-statin medicines for patients who are at risk for cardiovascular disease ("CVD") and are struggling with elevated low density lipoprotein cholesterol ("LDL-C"). Through commercial execution, international partnerships and collaborations, and advancement of its pre-clinical pipeline, the Company continues to evolve into a leading global biopharmaceutical company.</w:t>
      </w:r>
    </w:p>
    <w:p>
      <w:pPr>
        <w:spacing w:after="0" w:line="20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7"/>
          <w:szCs w:val="17"/>
          <w:color w:val="auto"/>
        </w:rPr>
        <w:t>The Company's lead products, NEXLETOL® (bempedoic acid) tablets and NEXLIZET® (bempedoic acid and ezetimibe) tablets, are oral, once-daily, non-statin medicines indicated to reduce the risk of myocardial infarction and coronary revascularization in adults who are unable or unwilling to take recommended statin therapy (including those not taking a statin) with established CVD, or at high risk for a CVD event but without established CVD, and to reduce LDL-C in adults with primary hyperlipidemia. The Company's products were approved by the FDA, the European Commission ("EC") (which, with respect to the UK, has been converted to a UK marketing authorization) and Swiss Agency for Therapeutic Products ("Swissmedic") in 2020. The FDA approved expanded indications for NEXLETOL and NEXLIZET tablets in March 2024. The EC approved expanded indications for NILEMDO® (bempedoic acid) tablets and NUSTENDI® (bempedoic acid and ezetimibe) tablets in May 2024. Otsuka Pharmaceutical Co., Ltd ("Otsuka"), Esperion’s Japanese collaborator, received approval from the Japanese Ministry of Health, Labour and Welfare to market NEXLETOL as a treatment for hypercholesterolemia and familial hypercholesterolemia in September 2025, with National Health Insurance ("NHI") pricing received in the fourth quarter of 2025. The Company filed supplemental NDAs for product approvals in Canada in November 2024, with NEXLETOL approval received in the fourth quarter of 2025 and NEXLIZET approval expected in the first half of 2026. The Company's collaboration partners filed in Israel in March 2025, with expected approval in the first half of 2026, and in Australia in July 2025, with expected approval in the fourth quarter of 2026.</w:t>
      </w:r>
    </w:p>
    <w:p>
      <w:pPr>
        <w:spacing w:after="0" w:line="20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On October 7, 2025, the Company entered into the 2025 Underwriting Agreement with Piper Sandler &amp; Co. and Cantor Fitzgerald &amp; Co., as representatives of the underwriters, pursuant to which the Company issued and sold an aggregate of 31,065,000 shares of Common Stock, which includes the partial exercise of the underwriters’ option to purchase 1,065,000 additional shares, at the public offering price of $2.50 per share. As a result of the Offering, the Company received approximately $72.6 million in net proceeds, after deducting the underwriting discount and offering expenses of approximately $5.1 million.</w:t>
      </w:r>
    </w:p>
    <w:p>
      <w:pPr>
        <w:spacing w:after="0" w:line="17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On March 2, 2026, the Company entered into an Agreement and Plan of Merger (the “Merger Agreement”) with Corstasis Therapeutics Inc., a Delaware corporation (“Corstasis”), and Cirrus Transaction Subsidiary, Inc., a Delaware corporation and wholly-owned subsidiary of Esperion (“Merger Sub”). Pursuant to the Merger Agreement, and upon the terms and subject to the conditions thereof, Merger Sub will merge with and into Corstasis (the “Merger”), with Corstasis surviving the Merger as a wholly-owned subsidiary of Esperion. The aggregate up-front consideration for the transactions contemplated by the Merger Agreement will be an amount in cash equal to $75.0 million, subject to customary adjustments and a post-closing purchase price adjustment (the “Upfront Consideration”). In addition to the Upfront Consideration, the equityholders of Corstasis will be entitled to receive: (i) milestone payments up to an aggregate amount equal to $180.0 million in the event certain regulatory approval or commercial sales milestones are achieved and (ii) royalty and licensing-revenue-derived payments in connection with the Company’s (or its sublicensees’) future sales of certain products (collectively, the “Contingent Consideration”). The transaction is expected to close in the second quarter of 2026. Refer to Note 20, "Subsequent Event" for further information.</w:t>
      </w:r>
    </w:p>
    <w:p>
      <w:pPr>
        <w:spacing w:after="0" w:line="19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its management, commercial and scientific staff; and finance its operations with an ultimate goal of achieving profitable operations.</w:t>
      </w:r>
    </w:p>
    <w:p>
      <w:pPr>
        <w:spacing w:after="0" w:line="177"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Company has sustained annual operating losses since inception and expects such losses to continue over the immediate future. While management believes current cash resources and future cash received from the Company's net product sales and collaboration agreements with DSE, Otsuka, Daiichi Sankyo Co. Ltd ("DS"), and other partners, entered into on January 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 and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167"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17"/>
          <w:szCs w:val="17"/>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222"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accompanying financial statements have been prepared by the Company in accordance with generally accepted accounting principles in the United States of America (“GAAP”).</w:t>
      </w:r>
    </w:p>
    <w:p>
      <w:pPr>
        <w:spacing w:after="0" w:line="147" w:lineRule="exact"/>
        <w:rPr>
          <w:sz w:val="20"/>
          <w:szCs w:val="20"/>
          <w:color w:val="auto"/>
        </w:rPr>
      </w:pPr>
    </w:p>
    <w:p>
      <w:pPr>
        <w:ind w:right="7780" w:firstLine="3"/>
        <w:spacing w:after="0" w:line="510" w:lineRule="auto"/>
        <w:tabs>
          <w:tab w:leader="none" w:pos="215"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Use of Estimates</w:t>
      </w:r>
    </w:p>
    <w:p>
      <w:pPr>
        <w:ind w:right="160"/>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w:t>
      </w:r>
    </w:p>
    <w:p>
      <w:pPr>
        <w:spacing w:after="0" w:line="222"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The Company views its operations and manages its business in one operating segment, which is the business of researching, developing and commercializing therapies for the treatment of patients with elevated LDL-C.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22"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w:t>
      </w:r>
    </w:p>
    <w:p>
      <w:pPr>
        <w:spacing w:after="0" w:line="2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2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Company’s cash and cash equivalents are carried at fair value. Financial instruments, including accounts receivable, other prepaid and current assets, accounts payable and accrued liabilities are carried at cost, which approximates fair value. Debt is carried at amortized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Cash, cash equivalents, and investments consist of financial instruments that potentially subject the Company to concentrations of credit risk. The Company has established guidelines for investment of its excess cash and believes the guidelines maintain safety and liquidity through diversification of counterparties and maturities. The Company enters into a limited number of distribution agreements with distributors and specialty pharmacies. The Company's net product sales are with these customers. Accounts receivable, net, on the Balance Sheets are presented net of discounts, such as prompt pay discounts, and chargebacks. As of December 31, 2025 and 2024, nine and ten customers, respectively, accounted for all of the Company's net trade receivables. As of December 31, 2025, three customers hold approximately 98% of the Company's trade receivables associated with net product sales and accounted for approximately 98% of gross sales of NEXLETOL and NEXLIZET in 2025. As of December 31, 2024, three customers held approximately 99% of the Company's trade receivables associated with net product sales and accounted for approximately 97% of gross sales of NEXLETOL and NEXLIZET in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Inventories, net</w:t>
      </w:r>
    </w:p>
    <w:p>
      <w:pPr>
        <w:spacing w:after="0" w:line="261"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5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Prepaid Inventory Costs</w:t>
      </w:r>
    </w:p>
    <w:p>
      <w:pPr>
        <w:spacing w:after="0" w:line="169" w:lineRule="exact"/>
        <w:rPr>
          <w:sz w:val="20"/>
          <w:szCs w:val="20"/>
          <w:color w:val="auto"/>
        </w:rPr>
      </w:pPr>
    </w:p>
    <w:p>
      <w:pPr>
        <w:ind w:right="300"/>
        <w:spacing w:after="0" w:line="218" w:lineRule="exact"/>
        <w:rPr>
          <w:sz w:val="20"/>
          <w:szCs w:val="20"/>
          <w:color w:val="auto"/>
        </w:rPr>
      </w:pPr>
      <w:r>
        <w:rPr>
          <w:rFonts w:ascii="Times New Roman" w:cs="Times New Roman" w:eastAsia="Times New Roman" w:hAnsi="Times New Roman"/>
          <w:sz w:val="17"/>
          <w:szCs w:val="17"/>
          <w:color w:val="auto"/>
        </w:rPr>
        <w:t>Prepaid inventory costs represent advance payments made by the Company to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suppliers and contract manufacturers for raw materials and other inventory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costs for which the Company has not yet taken ownership of the materials. Increases in prepaid inventory costs year over year are primarily driven by the timing of supplier purchases relative to the consumption of active pharmaceutical ingredient (“API”), as well as increased advance purchases to support expected demand. Prepaid inventory costs are recorded at cost, which approximates fair value, or using standard cost, and are reclassified to inventory when the related materials ownership transfers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Depreciation is provided using the straight-line method over the estimated useful lives of the respective assets, generally three to ten years. Leasehold improvements are amortized over the lesser of the lease term or the estimated useful lives of the related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 xml:space="preserve">The Company reviews all arrangements to determine if the contract contains a lease or an embedded lease using the criteria in Accounting Standards Codification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If a lease is identified, the Company reviews the consideration in the contract and separates the lease components from the nonlease components. In addition, the Company reviews the classification of the lease between operating and finance leases. According to ASC 842, lessees should discount lease payments at the lease commencement date using the rate implicit in the lease. If the rate implicit in the lease is not readily determinable, a lessee must use its incremental borrowing rate for purposes of classifying the lease and measuring the right-of-use asset and liability. To the extent the rate is not implicit in the lease, the Company uses the incremental borrowing rate it would have to pay to borrow on a collateralized basis over a similar term in an amount equal to the lease payments in a similar economic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22"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Company reviews long-lived assets, including property and equipment and right-of-use operating lease assets, for impairment whenever events or changes in business circumstances indicate that the carrying amount of the assets may not be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fully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respective fair value. No impairment losses have been recorded through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Notes</w:t>
      </w:r>
    </w:p>
    <w:p>
      <w:pPr>
        <w:spacing w:after="0" w:line="209"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The convertible notes are reported as a single liability at their amortized costs on the balance sheets, net of unamortized issuance costs. Issuance costs are amortized to interest expense over the life of the convertible debt. The Company uses the if-converted method when calculating diluted earnings per share.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Accrued Clinical Development Costs</w:t>
      </w:r>
    </w:p>
    <w:p>
      <w:pPr>
        <w:spacing w:after="0" w:line="222"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7"/>
          <w:szCs w:val="17"/>
          <w:color w:val="auto"/>
        </w:rPr>
        <w:t>Outside research costs are a component of research and development expense. These expenses include fees paid to clinical research organizations and other service providers that conduct certain clinical and product development activities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Liability Related to the Sale of Future Royalties</w:t>
      </w:r>
    </w:p>
    <w:p>
      <w:pPr>
        <w:spacing w:after="0" w:line="2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Company treats the sale of future DSE royalties as debt, amortized under the effective interest rate method over the estimated life of the royalty sale agreement. The royalty sale liability is presented net of deferred issuance costs on the balance sheets. The amortization of the liability related to future royalties and related interest expense are based on the Company's current estimates of future royalties, which the Company determines by using forecasted royalty sales from its collaboration partner, historical experience, third-party forecasts and current market conditions.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recognize the related non-cash interest expense. Royalty revenue is recognized and the related liability reduced as earned.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Interest Liability</w:t>
      </w:r>
    </w:p>
    <w:p>
      <w:pPr>
        <w:spacing w:after="0" w:line="20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In connection with the termination of the Revenue Interest Purchase Agreement ("RIPA"), as of December 31, 2024, the Company no longer has the liability referred to as the “Revenue interest liability” on the balance sheet. The Company imputed interest expense associated with this liability using the effective interest rate method. The effective interest rate was calculated based on the rate that would enable the debt to be repaid in full over the anticipated life of the arrangement. The interest rate on the liability varied during the term of the agreement depending on a number of factors, including the level of forecasted net sales. The Company evaluated the interest rate quarterly based on its current net sales forecasts utilizing the prospective method.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 xml:space="preserve">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development, manufacturing and commercialization of the Company's product candidates by the Company's partners and product sales consists of sales of NEXLETOL and NEXLIZET in the United States.</w:t>
      </w:r>
    </w:p>
    <w:p>
      <w:pPr>
        <w:spacing w:after="0" w:line="147" w:lineRule="exact"/>
        <w:rPr>
          <w:sz w:val="20"/>
          <w:szCs w:val="20"/>
          <w:color w:val="auto"/>
        </w:rPr>
      </w:pPr>
    </w:p>
    <w:p>
      <w:pPr>
        <w:ind w:left="320" w:hanging="317"/>
        <w:spacing w:after="0"/>
        <w:tabs>
          <w:tab w:leader="none" w:pos="32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Revenue</w:t>
      </w:r>
    </w:p>
    <w:p>
      <w:pPr>
        <w:spacing w:after="0" w:line="22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In accordance with ASC 606, revenue is measured as the amount of consideration expected to be entitled to in exchange for transferring promised goods or providing services to a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77"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7"/>
          <w:szCs w:val="17"/>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70"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The terms of the agreements typically include consideration to be provided to the Company in the form of non-refundable up-front payments, development milestones, sales milestones, and royalties on sales of products within a respective territory. The Company recognizes regulatory and approval milestones consideration when it is probable that a future reversal is unlikely to occur. For sales based milestones and royalties based on sales of product in a territory, the Company applies the sales-based royalty exception in ASC 606 to all of these milestones and royalties.</w:t>
      </w:r>
    </w:p>
    <w:p>
      <w:pPr>
        <w:spacing w:after="0" w:line="1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At the inception of a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statements of operations and comprehensive loss.</w:t>
      </w:r>
    </w:p>
    <w:p>
      <w:pPr>
        <w:spacing w:after="0" w:line="17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7"/>
          <w:szCs w:val="17"/>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collaborators.</w:t>
      </w:r>
    </w:p>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b.</w:t>
        <w:tab/>
        <w:t>Product Sales, Net</w:t>
      </w:r>
    </w:p>
    <w:p>
      <w:pPr>
        <w:spacing w:after="0" w:line="22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On March 30, 2020 and June 4, 2020, NEXLETOL and NEXLIZET, respectively, were commercially available in the U.S. through prescription. Net product sales totaled $159.6 million, $115.7 million and $78.3 million for the years ended December 31, 2025, December 31, 2024 and December 31, 2023, respectively.</w:t>
      </w:r>
    </w:p>
    <w:p>
      <w:pPr>
        <w:spacing w:after="0" w:line="15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Company sells NEXLETOL and NEXLIZET to wholesalers in the U.S and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6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and fees. Where appropriate, these estimates take into consideration a range of possible outcomes which are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Liabilities for co-pay assistance, expected product returns, rebates, and distributor fees are classified as “Accrued variable consideration" in the balance sheets.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Discounts, such as prompt pay discounts, and chargebacks are recorded as a reduction to trade accounts receivable in the balance sheets.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Forms of Variable Consideration</w:t>
      </w:r>
    </w:p>
    <w:p>
      <w:pPr>
        <w:spacing w:after="0" w:line="21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Rebates and Chargebacks: </w:t>
      </w:r>
      <w:r>
        <w:rPr>
          <w:rFonts w:ascii="Times New Roman" w:cs="Times New Roman" w:eastAsia="Times New Roman" w:hAnsi="Times New Roman"/>
          <w:sz w:val="17"/>
          <w:szCs w:val="17"/>
          <w:color w:val="auto"/>
        </w:rPr>
        <w:t>The Company estimates reductions to product sales for Public Health Service Institutions, such as Medicaid, Medicare and Veterans'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Medicare and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71" w:lineRule="exact"/>
        <w:rPr>
          <w:sz w:val="20"/>
          <w:szCs w:val="20"/>
          <w:color w:val="auto"/>
        </w:rPr>
      </w:pPr>
    </w:p>
    <w:p>
      <w:pPr>
        <w:jc w:val="both"/>
        <w:ind w:right="30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Co-pay assistance: </w:t>
      </w:r>
      <w:r>
        <w:rPr>
          <w:rFonts w:ascii="Times New Roman" w:cs="Times New Roman" w:eastAsia="Times New Roman" w:hAnsi="Times New Roman"/>
          <w:sz w:val="17"/>
          <w:szCs w:val="17"/>
          <w:color w:val="auto"/>
        </w:rPr>
        <w:t>Eligible patients who have commercial insurance may receive assistance from the Company to reduce the patient's out of pocket costs.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60" w:lineRule="exact"/>
        <w:rPr>
          <w:sz w:val="20"/>
          <w:szCs w:val="20"/>
          <w:color w:val="auto"/>
        </w:rPr>
      </w:pPr>
    </w:p>
    <w:p>
      <w:pPr>
        <w:ind w:right="60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Distribution Fees: </w:t>
      </w:r>
      <w:r>
        <w:rPr>
          <w:rFonts w:ascii="Times New Roman" w:cs="Times New Roman" w:eastAsia="Times New Roman" w:hAnsi="Times New Roman"/>
          <w:sz w:val="17"/>
          <w:szCs w:val="17"/>
          <w:color w:val="auto"/>
        </w:rPr>
        <w:t>The Company has written contracts with its customers that include terms for distribution fees and costs for inventory management.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estimates and records distribution fees due to its customers based on gross sales.</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Product Returns: </w:t>
      </w:r>
      <w:r>
        <w:rPr>
          <w:rFonts w:ascii="Times New Roman" w:cs="Times New Roman" w:eastAsia="Times New Roman" w:hAnsi="Times New Roman"/>
          <w:sz w:val="17"/>
          <w:szCs w:val="17"/>
          <w:color w:val="auto"/>
        </w:rPr>
        <w:t>The Company generally offers a right of return based on the product’s expiration date and certain spoilage and damaged instances.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estimates the amount of product sales that may be returned and records the estimate as a reduction of product sales in the period the related product sales is recognized. The Company’s estimates for expected returns are based primarily on an ongoing analysis of historical returns sales information and visibility into the inventory remaining in the distribution channel.</w:t>
      </w:r>
    </w:p>
    <w:p>
      <w:pPr>
        <w:spacing w:after="0" w:line="167"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Discounts: </w:t>
      </w:r>
      <w:r>
        <w:rPr>
          <w:rFonts w:ascii="Times New Roman" w:cs="Times New Roman" w:eastAsia="Times New Roman" w:hAnsi="Times New Roman"/>
          <w:sz w:val="17"/>
          <w:szCs w:val="17"/>
          <w:color w:val="auto"/>
        </w:rPr>
        <w:t>The Company provides product discounts, such as prompt pay discounts, to its customers. The Company estimates cash discounts based on terms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negotiated contracts and the Company’s expectations regarding future payment patterns.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Goods Sold</w:t>
      </w:r>
    </w:p>
    <w:p>
      <w:pPr>
        <w:spacing w:after="0" w:line="2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goods sold is related to the Company's net product sales of NEXLETOL and NEXLIZET and the cost of the API and tablets supplied to collaboration partners under supply agreements. Cost of goods sold includes the actual product costs, including inbound freight charges and certain outbound freight charges, purchasing, sourcing, inspection and receiving costs.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consist of costs incurred to further the Company’s research and development activities and include salaries and related benefits, costs associated with clinical activities, nonclinical activities, regulatory activities, manufacturing activities to support clinical activities and commercial product manufacturing supply prior to the Company's regulatory approval, research-related overhead expenses, in-licensing agreements and fees paid to external service providers that conduct certain research and development, clinical, and manufacturing activities on behalf of the Company. Research and development costs are expensed as incurred.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2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costs of programs necessary for the general conduct of the Company's business, including costs associated with the commercialization of NEXLETOL and NEXLIZET, selling expenses, facility-related costs, communication expenses and professional fees for legal, patent prosecution, protection and review, consulting and accounting services. Selling, general and administrative expenses are expensed as costs are incurred, services are performed, or goods are delivered. The Company incurred advertising costs of $25.0 million, $25.5 million, and $15.6 million, for the years ended December 31, 2025, December 31, 2024 and December 31,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in accordance with the provisions of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Accordingly, compensation costs related to equity instruments granted are recognized over the requisite service periods of the awards on a straight-line basis at the grant-date fair value. The fair value for stock options and performance-based stock options is calculated using a Black-Scholes option-pricing model. The price used in the Black-Scholes model is determined by the closing stock price on the date of grant and adjusted if management identifies any material nonpublic information possessed at the time of grant. If the instruments contain performance conditions, compensation expense is recognized only if achievement of the performance condition is probable. The Company accounts for forfeitures as they occur. Expense is recognized during the period the related services are rendered.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2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Deferred tax assets and liabilities are determined based on differences between financial reporting and the tax basis of assets and liabilities and are measured using enacted tax rates and laws that will be in effect when the differences are expected to reverse. The Company has incurred annual operating losses since inception. Accordingly, it is not more likely than not that the Company will realize a tax benefit from its deferred tax assets and as such, it has recorded a full valuation allowance.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2023-09, Income Taxes (Topic 740): Improvements to Income Tax Disclosures, which requires disaggregated information about a reporting entity's effective tax rate reconciliation, as well as information related to income taxes paid to enhance the transparency and decision usefulness of income tax disclosures. This ASU is effective for the annual period ending December 31, 2025. The Company adopted this standard for the year ended December 31, 2025 and it did not have a material impact on the Company's consolidated financial statements. Refer to Note 17 "Income Taxes" for required disclosures from this ASU.</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In November 2024, the FASB issued ASU 2024-03</w:t>
      </w:r>
      <w:r>
        <w:rPr>
          <w:rFonts w:ascii="Times New Roman" w:cs="Times New Roman" w:eastAsia="Times New Roman" w:hAnsi="Times New Roman"/>
          <w:sz w:val="17"/>
          <w:szCs w:val="17"/>
          <w:i w:val="1"/>
          <w:iCs w:val="1"/>
          <w:color w:val="auto"/>
        </w:rPr>
        <w:t>, Disaggregation of Income Statement Expenses (Subtopic 220-40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requires additional disclosure of the nature of expenses included in the income statement. The primary goal is to improve the decision usefulness of expense information on public business entities' income statements through the disaggregation of relevant expense captions in the notes of the financial statements. This ASU will be effective for annual periods beginning after December 15, 2026, and interim periods after December 15, 2027. The Company is currently evaluating the timing and impacts of adoption of this ASU.</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which amends certain aspects of the accounting for and disclosure of software costs. This ASU will be effective for annual reporting periods beginning after December 15, 2027, and interim reporting periods within those annual reporting periods. Early adoption is permitted. The Company is currently evaluating the timing and impacts of adoption of this ASU.</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expect adoption of any remaining recently issued accounting pronouncements to have a material impact on the financial statements.</w:t>
      </w:r>
    </w:p>
    <w:p>
      <w:pPr>
        <w:spacing w:after="0" w:line="214" w:lineRule="exact"/>
        <w:rPr>
          <w:sz w:val="20"/>
          <w:szCs w:val="20"/>
          <w:color w:val="auto"/>
        </w:rPr>
      </w:pPr>
    </w:p>
    <w:p>
      <w:pPr>
        <w:ind w:right="8580" w:firstLine="3"/>
        <w:spacing w:after="0" w:line="510" w:lineRule="auto"/>
        <w:tabs>
          <w:tab w:leader="none" w:pos="172"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Collaborations with Third Parties DSE Agreement Terms</w:t>
      </w:r>
    </w:p>
    <w:p>
      <w:pPr>
        <w:spacing w:after="0"/>
        <w:rPr>
          <w:sz w:val="20"/>
          <w:szCs w:val="20"/>
          <w:color w:val="auto"/>
        </w:rPr>
      </w:pPr>
      <w:r>
        <w:rPr>
          <w:rFonts w:ascii="Times New Roman" w:cs="Times New Roman" w:eastAsia="Times New Roman" w:hAnsi="Times New Roman"/>
          <w:sz w:val="17"/>
          <w:szCs w:val="17"/>
          <w:color w:val="auto"/>
        </w:rPr>
        <w:t>On January 2, 2019, the Company entered into a license and collaboration agreement with DSE, which was further amended on June 18, 2020, and January 2,</w:t>
      </w:r>
    </w:p>
    <w:p>
      <w:pPr>
        <w:spacing w:after="0" w:line="5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2024 (as amended, the “DSE Agreement”). Pursuant to the DSE agreement, the Company granted DSE exclusive commercialization rights to bempedoic acid and the bempedoic acid / ezetimibe combination tablet in the European Economic Area, Turkey and Switzerland (“DSE Territory”). DSE will be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included in the DSE Territory outside of Turkey.</w:t>
      </w:r>
    </w:p>
    <w:p>
      <w:pPr>
        <w:spacing w:after="0" w:line="17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Pursuant to the agreement, the Company received upfront cash of $150.0 million in 2019, and a $150.0 million cash payment to the Company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will receive tiered fifteen percent (15%) to twenty-five percent (25%) royalties on net DSE Territory sales.</w:t>
      </w:r>
    </w:p>
    <w:p>
      <w:pPr>
        <w:spacing w:after="0" w:line="170"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6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On January 2, 2024, the Company entered into a Settlement Agreement with DSE to amicably resolve and dismiss their commercial dispute in the Southern District of New York. Under the Settlement Agreement, DSE agreed to pay the Company an aggregate of $125 million, including (1) a $100 million payment within 15 business days of the effective date of the Settlement Agreement and (2) a $25 million payment in the calendar quarter immediately following the calendar quarter in which the EMA rendered a decision on the application that was filed with the EMA for a Type II(a) variation for the Company’s oral non-statin products marketed as NILEMDO (bempedoic acid) tablets and NUSTENDI (bempedoic acid and ezetimibe) tablets in Europe. The DSE Amendment grants DSE the exclusive rights for clinical development, regulatory activities, manufacture and commercialization of a bempedoic acid/ezetimibe/statin triple combination pill in the DSE Territory. Further, after a transition period, DSE will assume sole responsibility for the manufacture of NILEMDO and NUSTENDI for the DSE Territory. As of January 2, 2024, DSE shall have sole authority and control of regulatory communications with the EMA regarding the pending marketing authorization applications for NILEMDO and NUSTENDI. Pursuant to the DSE Amendment, the Company is entitled to receive one-time cash payments of up to $300 million upon the achievement of certain commercial milestones related to total net sales achievements in the DSE Territory. The Company is also entitled to receive tiered 15% to 25% royalties on net DSE Territory sales.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Collaboration Revenue</w:t>
      </w:r>
    </w:p>
    <w:p>
      <w:pPr>
        <w:spacing w:after="0" w:line="22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During the year ended December 31, 2025, the Company recognized collaboration revenue of $148.8 million, made up of payments related to royalty revenue from DSE and sales of bulk tablets and API to DSE pursuant to the supply agreement that was executed with DSE. During the year ended December 31, 2024, the Company recognized collaboration revenue of $205.0 million related to the Settlement Agreement and EMA approval, royalty revenue from DSE as well as the sales of bulk tablets to DSE pursuant to the supply agreement that was executed with DSE. During the year ended December 31, 2023,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Collaborations with Third Parties (Continued)</w:t>
      </w:r>
    </w:p>
    <w:p>
      <w:pPr>
        <w:spacing w:after="0" w:line="200" w:lineRule="exact"/>
        <w:rPr>
          <w:sz w:val="20"/>
          <w:szCs w:val="20"/>
          <w:color w:val="auto"/>
        </w:rPr>
      </w:pPr>
    </w:p>
    <w:p>
      <w:pPr>
        <w:spacing w:after="0" w:line="332"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Company recognized collaboration revenue of $37.2 million related to royalty revenue from DSE as well as the sales of bulk tablets to DSE pursuant to the supply agreement that was executed with DSE.</w:t>
      </w:r>
    </w:p>
    <w:p>
      <w:pPr>
        <w:spacing w:after="0" w:line="151"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color w:val="auto"/>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sales-based milestones will be recognized when the subsequent sales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Otsuka Agreement Terms</w:t>
      </w:r>
    </w:p>
    <w:p>
      <w:pPr>
        <w:spacing w:after="0" w:line="209"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7"/>
          <w:szCs w:val="17"/>
          <w:color w:val="auto"/>
        </w:rPr>
        <w:t>On April 17, 2020, the Company entered into a license and collaboration agreement ("the Otsuka Agreement") with Otsuka, which was further amended on November 5, 2025.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Pursuant to the agreement, the consideration consists of a $60.0 million upfront cash payment and the Company will be eligible to receive additional payments of up to $450.0 million if certain regulatory and commercial milestones are achieved by Otsuka. The Company received $10.0 million in 2024 related to a milestone payment upon first Japanese New Drug Application ("JNDA") submissions in the Otsuka Territory. The Company received a $90.0 million payment in the fourth quarter of 2025 related to JNDA approval in the Otsuka Territory, the first NHI Price Listing for NEXLETOL in the Otsuka Territory, and the achievement of the primary major adverse cardiovascular events (“MACE”) endpoint in the CLEAR Outcomes study and inclusion of the CV risk reduction indication in the U.S. label. The potential future milestone payments include up to $10.0 million upon first JNDA approval in the Otsuka Territory for the Combination Product (as defined in the Otsuka Agreement) for the Initial Indication (as defined in the Otsuka Agreement) in the Otsuka Territory. In addition, the Company is eligible to receive additional sales milestone payments up to $310.0 million related to total net sales achievements for Otsuka in Japan. Finally, the Company will receive tiered twelve percent (12%) to thirty-three percent (33%) royalties on net sales in Japan.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Collaboration Revenue</w:t>
      </w:r>
    </w:p>
    <w:p>
      <w:pPr>
        <w:spacing w:after="0" w:line="22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During the year ended December 31, 2025, the Company recognized collaboration revenue of $91.1 million related to the JNDA approval, the first NHI Price Listing for NEXLETOL in the Otsuka Territory and sales of bulk tablets to Otsuka pursuant to the supply agreement that was executed with Otsuka. During the year ended December 31, 2024, the Company recognized collaboration revenue of $11.3 million related to the milestone recognized upon first JNDA submissions in the Otsuka Territory and sales of bulk tablets to Otsuka. During the year ended December 31, 2023, the Company recognized $0.1 million related to sales of bulk tablets to Otsuka.</w:t>
      </w:r>
    </w:p>
    <w:p>
      <w:pPr>
        <w:spacing w:after="0" w:line="17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DS Agreement Terms</w:t>
      </w: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Pursuant to the license and collaboration agreement ("DS Agreement"), executed in April 2021, the Company granted DS exclusive rights to develop and commercialize bempedoic acid and the bempedoic acid / ezetimibe combination tablet in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will be eligible to receive additional one-time payments of up to $175.0 million if certain commercial milestones are achieved by DS. Also, the Company will receive tiered royalties of five percent (5%) to twenty percent (20%) of net sales in the DS Territory.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Collaborations with Third Parties (Continued)</w:t>
      </w:r>
    </w:p>
    <w:p>
      <w:pPr>
        <w:spacing w:after="0" w:line="200" w:lineRule="exact"/>
        <w:rPr>
          <w:sz w:val="20"/>
          <w:szCs w:val="20"/>
          <w:color w:val="auto"/>
        </w:rPr>
      </w:pPr>
    </w:p>
    <w:p>
      <w:pPr>
        <w:spacing w:after="0" w:line="332"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7"/>
          <w:szCs w:val="17"/>
          <w:color w:val="auto"/>
        </w:rPr>
        <w:t>Pursuant to the Settlement Agreement, on January 2, 2024, the Company entered a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Collaboration Revenue</w:t>
      </w: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considered the guidance under ASC 606 and concluded that the DS Agreement was in the scope of ASC 606. The Company concluded that the upfront payment of $30.0 million should be included in the transaction price and related to the following performance obligations under the DS Agreement: 1) 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During the year December 31, 2023, the Company recognized $0.7 million of collaboration revenue related to the ongoing regulatory and development activities. During the year ended December 31, 2024, the Company recognized $0.1 million related to royalty revenue from DS. During the year ended December 31, 2025, the Company recognized $2.4 million related to the sale of bulk tablets and royalty revenue from DS.</w:t>
      </w:r>
    </w:p>
    <w:p>
      <w:pPr>
        <w:spacing w:after="0" w:line="20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Agreements</w:t>
      </w:r>
    </w:p>
    <w:p>
      <w:pPr>
        <w:spacing w:after="0" w:line="2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December 12, 2024, the Company entered into a license and collaboration agreement with Neopharm Israel ("Neopharm") for the exclusive rights to commercialize NEXLETOL and NEXLIZET in Israel. Under the terms of the agreement, the Company granted Neopharm exclusive commercialization rights to NEXLETOL and NEXLIZET in Israel, Gaza, and West Bank. Neopharm will be responsible for commercialization in these areas. Esperion will receive an upfront and near-term milestone payments and will be eligible to receive tiered royalties on sales of NEXLETOL/NEXLIZET in Israel. During the year ended December 31, 2025, the Company did not have collaboration revenue related to the agreement. During the year ended December 31, 2024, the Company recognized approximately $0.3 million of collaboration revenue related to the upfront milestone payment.</w:t>
      </w:r>
    </w:p>
    <w:p>
      <w:pPr>
        <w:spacing w:after="0" w:line="16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7"/>
          <w:szCs w:val="17"/>
          <w:color w:val="auto"/>
        </w:rPr>
        <w:t>On February 26, 2025, the Company entered into a license and distribution agreement with Seqirus Pty Ltd ("CSL Seqirus") for the rights to commercialize NEXLETOL and NEXLIZET in Australia and New Zealand. Under the terms of the agreement, the Company will receive upfront and near-term milestone payments and will be responsible for supplying finished product to CSL Seqirus. CSL Seqirus will be responsible for commercialization, including regulatory approval, reimbursement and marketing. During the year ended December 31, 2025, the Company recognized $0.3 million of collaboration revenue related to the upfront milestone payment.</w:t>
      </w:r>
    </w:p>
    <w:p>
      <w:pPr>
        <w:spacing w:after="0" w:line="21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On May 7, 2025, the Company entered into a license and collaboration agreement with HLS Therapeutics Inc. ("HLS") for the exclusive rights to commercialize NEXLETOL and NEXLIZET in Canada. HLS will be responsible for commercialization in Canada. Esperion will receive an upfront and near-term milestone payments and will be eligible to receive tiered royalties on sales of NEXLETOL/NEXLIZET in Canada. During the year ended December 31, 2025, the Company recognized $1.0 million of collaboration revenue related to the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consist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5"/>
                <w:szCs w:val="15"/>
                <w:color w:val="auto"/>
              </w:rPr>
            </w:pPr>
          </w:p>
        </w:tc>
      </w:tr>
      <w:tr>
        <w:trPr>
          <w:trHeight w:val="194"/>
        </w:trPr>
        <w:tc>
          <w:tcPr>
            <w:tcW w:w="78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7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5"/>
                <w:szCs w:val="15"/>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84,584</w:t>
            </w:r>
          </w:p>
        </w:tc>
      </w:tr>
      <w:tr>
        <w:trPr>
          <w:trHeight w:val="220"/>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3,711</w:t>
            </w: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6,196</w:t>
            </w:r>
          </w:p>
        </w:tc>
      </w:tr>
      <w:tr>
        <w:trPr>
          <w:trHeight w:val="213"/>
        </w:trPr>
        <w:tc>
          <w:tcPr>
            <w:tcW w:w="7820" w:type="dxa"/>
            <w:vAlign w:val="bottom"/>
          </w:tcPr>
          <w:p>
            <w:pPr>
              <w:spacing w:after="0"/>
              <w:rPr>
                <w:sz w:val="18"/>
                <w:szCs w:val="18"/>
                <w:color w:val="auto"/>
              </w:rPr>
            </w:pP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105,124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94,491</w:t>
            </w: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reserves were $4.6 million and $0.3 million at December 31, 2025 and 2024, respectively.</w:t>
      </w:r>
    </w:p>
    <w:p>
      <w:pPr>
        <w:spacing w:after="0" w:line="240" w:lineRule="exact"/>
        <w:rPr>
          <w:sz w:val="20"/>
          <w:szCs w:val="20"/>
          <w:color w:val="auto"/>
        </w:rPr>
      </w:pPr>
    </w:p>
    <w:p>
      <w:pPr>
        <w:ind w:right="8580" w:firstLine="3"/>
        <w:spacing w:after="0" w:line="515" w:lineRule="auto"/>
        <w:tabs>
          <w:tab w:leader="none" w:pos="215"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Legal Proceedings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DSE Litigation</w:t>
      </w:r>
    </w:p>
    <w:p>
      <w:pPr>
        <w:spacing w:after="0" w:line="2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On March 27, 2023, the Company filed a complaint in the United States District Court for the Southern District of New York seeking declaratory judgment against DSE regarding the Company’s right to receive a $300.0 million milestone payment upon inclusion of cardiovascular risk reduction in the EU label that correlates with a relative risk reduction rate of at least 20%, based on the results of the CLEAR Outcomes CVOT.</w:t>
      </w:r>
    </w:p>
    <w:p>
      <w:pPr>
        <w:spacing w:after="0" w:line="19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On January 2, 2024, the Company entered into the Settlement Agreement with DSE to amicably resolve and dismiss the commercial dispute then pending in the Southern District of New York. Under the Settlement Agreement, DSE agreed to pay the Company an aggregate of $125.0 million, including (1) a $100.0-million payment within 15 business days of the effective date of the Settlement Agreement and (2) a $25.0-million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legal action pending in the United States District Court for the Southern District of New York was subsequently dismissed. Both milestones, totaling $125.0 million, were received in 2024 and included in collaboration revenue on the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ANDA Litigation</w:t>
      </w:r>
    </w:p>
    <w:p>
      <w:pPr>
        <w:spacing w:after="0" w:line="235"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7"/>
          <w:szCs w:val="17"/>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2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Under the Hatch-Waxman Act to the Federal Food, Drug, and Cosmetic Act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spacing w:after="0" w:line="19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its affiliate); Dr. Reddy’s Laboratories Inc. (along with its affiliate, collectively, “Dr. Reddy’s Laboratories”); Hetero USA Inc. (along with its affiliates, collectively, “Hetero USA”); Micro Labs USA Inc. (along with its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affiliate, collectively, “Micro Labs”); MSN Pharmaceuticals Inc. (along with an affiliate); Renata Limited (“Renata”);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w:t>
      </w:r>
    </w:p>
    <w:p>
      <w:pPr>
        <w:spacing w:after="0" w:line="19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The Company subsequently reached settlement agreements with Micro Labs, Hetero USA, Accord Healthcare Inc., Dr. Reddy’s Laboratories, and Alkem Laboratories Ltd. in May 2025, June 2025, July 2025, October 2025, and February 2026, respectively. Each settlement agreement resolved the patent litigation brought by the Company against the particular ANDA Filer, each of which has agreed not to market a generic version of NEXLETOL and/or NEXLIZET, as applicable, in the United States prior to April 19, 2040, unless certain circumstances customarily included in these types of agreements occur. With the settlement with Dr. Reddy’s Laboratories in October 2025, there are no remaining challenges regarding the validity or infringement of U.S Patent No. 7,335,799 in the pending patent litigation with the remaining ANDA filers. Certain of the Company’s patents that remain subject to the pending patent litigation are scheduled to expire in March 2036, while others are scheduled to expire in June 2040.</w:t>
      </w:r>
    </w:p>
    <w:p>
      <w:pPr>
        <w:spacing w:after="0" w:line="20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pending patent litigation against the remaining ANDA Filers (Aurobindo Pharma Limited (along with an affiliate); MSN Pharmaceuticals Inc. (along with an affiliate); Renata (along with an affiliate); and Sandoz Inc.) is ongoing, and there can be no assurance whether such ongoing patent litigation will allow a generic version of NEXLETOL and/or NEXLIZET, as applicable, to be marketed in the U.S. prior to April 19, 2040. The trial is anticipated to begin no earlier than January 2027, but no trial date has been set.</w:t>
      </w:r>
    </w:p>
    <w:p>
      <w:pPr>
        <w:spacing w:after="0" w:line="19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In January 2026, Renata notified the Company that it had filed an ANDA with the FDA seeking approval of a generic version of NEXLIZET in the United States (the “2026 Renata ANDA”). The 2026 Renata ANDA is in addition to the ANDA that Renata had previously filed with respect to NEXLETOL, for which the pending patent litigation described above is ongoing. Under the Hatch-Waxman Act, the Company had 45 days from receipt of the 2026 Renata ANDA notice letter to commence patent infringement lawsuits against Renata in a federal district court to trigger a stay precluding the FDA’s approval of the 2026 Renata ANDA from being effective any earlier than 7.5 years from the date of approval of the NEXLIZET new drug application or entry of judgment holding the patents invalid, unenforceable, or not infringed, whichever occurs first. In March 2026, the Company filed a patent infringement lawsuit under the Hatch-Waxman Act in the United States District Court, District of New Jersey, against Renata. The Company’s complaint alleges that by filing the 2026 Renata ANDA, Renata has infringed NEXLIZET’s Orange Book patents included in its Paragraph IV certifications, and seeks an injunction preventing the FDA from granting final approval of the 2026 Renata ANDA before the expiration of the asserted patents, and a permanent injunction to prevent Renata from commercializing a generic version of NEXLIZET until the expiration of the asserted patents. No trial date has been set.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and Equipment, net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 consist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476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20"/>
        </w:trPr>
        <w:tc>
          <w:tcPr>
            <w:tcW w:w="2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w:t>
            </w:r>
          </w:p>
        </w:tc>
      </w:tr>
      <w:tr>
        <w:trPr>
          <w:trHeight w:val="220"/>
        </w:trPr>
        <w:tc>
          <w:tcPr>
            <w:tcW w:w="2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fixtures and other</w:t>
            </w:r>
          </w:p>
        </w:tc>
        <w:tc>
          <w:tcPr>
            <w:tcW w:w="3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20"/>
        </w:trPr>
        <w:tc>
          <w:tcPr>
            <w:tcW w:w="2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0"/>
        </w:trPr>
        <w:tc>
          <w:tcPr>
            <w:tcW w:w="2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in progress</w:t>
            </w:r>
          </w:p>
        </w:tc>
        <w:tc>
          <w:tcPr>
            <w:tcW w:w="38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2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w:t>
            </w:r>
          </w:p>
        </w:tc>
      </w:tr>
      <w:tr>
        <w:trPr>
          <w:trHeight w:val="220"/>
        </w:trPr>
        <w:tc>
          <w:tcPr>
            <w:tcW w:w="2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8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w:t>
            </w:r>
          </w:p>
        </w:tc>
      </w:tr>
      <w:tr>
        <w:trPr>
          <w:trHeight w:val="213"/>
        </w:trPr>
        <w:tc>
          <w:tcPr>
            <w:tcW w:w="2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840" w:type="dxa"/>
            <w:vAlign w:val="bottom"/>
          </w:tcPr>
          <w:p>
            <w:pPr>
              <w:spacing w:after="0"/>
              <w:rPr>
                <w:sz w:val="18"/>
                <w:szCs w:val="18"/>
                <w:color w:val="auto"/>
              </w:rPr>
            </w:pP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760" w:type="dxa"/>
            <w:vAlign w:val="bottom"/>
            <w:gridSpan w:val="2"/>
          </w:tcPr>
          <w:p>
            <w:pPr>
              <w:jc w:val="right"/>
              <w:ind w:right="3314"/>
              <w:spacing w:after="0"/>
              <w:rPr>
                <w:sz w:val="20"/>
                <w:szCs w:val="20"/>
                <w:color w:val="auto"/>
              </w:rPr>
            </w:pPr>
            <w:r>
              <w:rPr>
                <w:rFonts w:ascii="Times New Roman" w:cs="Times New Roman" w:eastAsia="Times New Roman" w:hAnsi="Times New Roman"/>
                <w:sz w:val="17"/>
                <w:szCs w:val="17"/>
                <w:color w:val="auto"/>
              </w:rPr>
              <w:t>F-19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and Equipment, net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was $0.1 million, $0.1 million, and $0.2 million for the years ended December 31, 2025, 2024 and 2023,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Other Accrued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accrued liabilities consist of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194"/>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11,940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12,739</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fees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accrued liabilities</w:t>
            </w:r>
          </w:p>
        </w:tc>
        <w:tc>
          <w:tcPr>
            <w:tcW w:w="8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19,249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19,593</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Cash Equivalents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cash equivalents: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gridSpan w:val="6"/>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18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5"/>
                <w:szCs w:val="15"/>
                <w:color w:val="auto"/>
              </w:rPr>
            </w:pPr>
          </w:p>
        </w:tc>
        <w:tc>
          <w:tcPr>
            <w:tcW w:w="104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104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5"/>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equivalents: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89"/>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94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135,232</w:t>
            </w:r>
          </w:p>
        </w:tc>
      </w:tr>
      <w:tr>
        <w:trPr>
          <w:trHeight w:val="220"/>
        </w:trPr>
        <w:tc>
          <w:tcPr>
            <w:tcW w:w="20" w:type="dxa"/>
            <w:vAlign w:val="bottom"/>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404</w:t>
            </w:r>
          </w:p>
        </w:tc>
      </w:tr>
      <w:tr>
        <w:trPr>
          <w:trHeight w:val="213"/>
        </w:trPr>
        <w:tc>
          <w:tcPr>
            <w:tcW w:w="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135,636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88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949"/>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135,636</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6"/>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18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20" w:type="dxa"/>
            <w:vAlign w:val="bottom"/>
          </w:tcPr>
          <w:p>
            <w:pPr>
              <w:spacing w:after="0"/>
              <w:rPr>
                <w:sz w:val="15"/>
                <w:szCs w:val="15"/>
                <w:color w:val="auto"/>
              </w:rPr>
            </w:pPr>
          </w:p>
        </w:tc>
        <w:tc>
          <w:tcPr>
            <w:tcW w:w="10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4"/>
              </w:rPr>
              <w:t>Unrealized</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 w:type="dxa"/>
            <w:vAlign w:val="bottom"/>
          </w:tcPr>
          <w:p>
            <w:pPr>
              <w:spacing w:after="0"/>
              <w:rPr>
                <w:sz w:val="16"/>
                <w:szCs w:val="16"/>
                <w:color w:val="auto"/>
              </w:rPr>
            </w:pPr>
          </w:p>
        </w:tc>
        <w:tc>
          <w:tcPr>
            <w:tcW w:w="104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5"/>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5"/>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equivalents: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6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929"/>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106,894</w:t>
            </w:r>
          </w:p>
        </w:tc>
      </w:tr>
      <w:tr>
        <w:trPr>
          <w:trHeight w:val="220"/>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13"/>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107,297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107,297</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During the years ended December 31, 2025, 2024 and 2023, other income, net in the statements of operations includes interest income on cash equivalents and available-for-sale investments of $3.5 million, $7.6 million and $4.4 million, respectively. During the years ended December 31, 2025 and December 31, 2024, there were no accretion or amortization of premiums and discounts on investments. Other income, net in the statements of operations includes accretion of premiums and discounts on investments of $0.4 million during the year ended December 31, 2023.</w:t>
      </w:r>
    </w:p>
    <w:p>
      <w:pPr>
        <w:spacing w:after="0" w:line="170"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17"/>
          <w:szCs w:val="17"/>
          <w:color w:val="auto"/>
        </w:rPr>
        <w:t>There were no unrealized gains or losses on investments reclassified from accumulated other comprehensive loss to other income, net in the statements of operations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Cash Equivalents (Continued)</w:t>
      </w:r>
    </w:p>
    <w:p>
      <w:pPr>
        <w:spacing w:after="0" w:line="200" w:lineRule="exact"/>
        <w:rPr>
          <w:sz w:val="20"/>
          <w:szCs w:val="20"/>
          <w:color w:val="auto"/>
        </w:rPr>
      </w:pPr>
    </w:p>
    <w:p>
      <w:pPr>
        <w:spacing w:after="0" w:line="31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In the years ended December 31, 2025, 2024, and 2023, there were no allowances for credit losses and all unrealized gains (losses) for available-for-sale securities were recognized in accumulated other comprehensive loss. As of December 31, 2025, the Company had no accrued interest receivables.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w:t>
      </w:r>
    </w:p>
    <w:p>
      <w:pPr>
        <w:spacing w:after="0" w:line="22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Level 1 inputs:</w:t>
            </w:r>
          </w:p>
        </w:tc>
        <w:tc>
          <w:tcPr>
            <w:tcW w:w="47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Quoted prices for identical assets or liabilities in active markets;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Level 2 inputs:</w:t>
            </w:r>
          </w:p>
        </w:tc>
        <w:tc>
          <w:tcPr>
            <w:tcW w:w="9240" w:type="dxa"/>
            <w:vAlign w:val="bottom"/>
            <w:gridSpan w:val="12"/>
          </w:tcPr>
          <w:p>
            <w:pPr>
              <w:ind w:left="180"/>
              <w:spacing w:after="0"/>
              <w:rPr>
                <w:sz w:val="20"/>
                <w:szCs w:val="20"/>
                <w:color w:val="auto"/>
              </w:rPr>
            </w:pPr>
            <w:r>
              <w:rPr>
                <w:rFonts w:ascii="Times New Roman" w:cs="Times New Roman" w:eastAsia="Times New Roman" w:hAnsi="Times New Roman"/>
                <w:sz w:val="17"/>
                <w:szCs w:val="17"/>
                <w:color w:val="auto"/>
              </w:rPr>
              <w:t>Observable inputs other than Level 1 prices, such as quoted market prices for similar assets or liabilities or other inputs that are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observable or can be corroborated by market data; and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Level 3 inputs:</w:t>
            </w:r>
          </w:p>
        </w:tc>
        <w:tc>
          <w:tcPr>
            <w:tcW w:w="9240" w:type="dxa"/>
            <w:vAlign w:val="bottom"/>
            <w:gridSpan w:val="12"/>
          </w:tcPr>
          <w:p>
            <w:pPr>
              <w:ind w:left="180"/>
              <w:spacing w:after="0"/>
              <w:rPr>
                <w:sz w:val="20"/>
                <w:szCs w:val="20"/>
                <w:color w:val="auto"/>
              </w:rPr>
            </w:pPr>
            <w:r>
              <w:rPr>
                <w:rFonts w:ascii="Times New Roman" w:cs="Times New Roman" w:eastAsia="Times New Roman" w:hAnsi="Times New Roman"/>
                <w:sz w:val="17"/>
                <w:szCs w:val="17"/>
                <w:color w:val="auto"/>
              </w:rPr>
              <w:t>Unobservable inputs that are supported by little or no market activity and require the reporting entity to develop assumptions that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market participants would use when pricing the asset or liability.</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2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following table presents the Company’s financial assets that have been measured at fair value on a recurring basis: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23"/>
                <w:szCs w:val="23"/>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23"/>
                <w:szCs w:val="2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23"/>
                <w:szCs w:val="23"/>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3540" w:type="dxa"/>
            <w:vAlign w:val="bottom"/>
            <w:gridSpan w:val="2"/>
            <w:shd w:val="clear" w:color="auto" w:fill="CCEEFF"/>
          </w:tcPr>
          <w:p>
            <w:pPr>
              <w:ind w:left="3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Certificates of deposit</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32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3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Money market funds</w:t>
            </w:r>
          </w:p>
        </w:tc>
        <w:tc>
          <w:tcPr>
            <w:tcW w:w="3540" w:type="dxa"/>
            <w:vAlign w:val="bottom"/>
            <w:gridSpan w:val="2"/>
          </w:tcPr>
          <w:p>
            <w:pPr>
              <w:ind w:left="3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106,894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106,894</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Certificates of deposit</w:t>
            </w: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320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107,297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107,297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between Levels 1, 2 or 3 during the years ended December 31, 2025 or December 31,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Liability Related to the Revenue Interest Purchase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26, 2019, the Company entered into a RIPA with Eiger III SA LLC ("Oberland"), as agent for purchasers party thereto (the “Purchasers”),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named therein, to obtain financing in respect to the commercialization and further development of bempedoic acid and the bempedoic acid / ezetimibe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combination tablet and other working capital needs. Pursuant to the RIPA, the Company received $125.0 million at closing, less certain issuance costs.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was entitled to receive up to approximately $75.0 million in subsequent installments subject to the terms and conditions set forth in the RIPA: (i)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 million upon certain regulatory approval of its product candidates and (ii) $50.0 million, at the Company’s option, upon reaching $100.0 million trailing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worldwide six-month net sales any time prior to December 31, 2021 (the “Third Payment”). In March 2020, the Company received $25.0 million from Oberland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receiving regulatory approval of NEXLETOL.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consideration for such payments, the Purchasers had a right to receive certain revenue interests (the “Revenue Interests”) from the Company based upon net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of the Company’s certain products, once approved, which were tiered payments initially ranging from 2.5% to 7.5% of the Company’s net sales in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covered territory (the “Covered Territory”); provided that if annual net sales equaled or exceeded the Sales Threshold and if the Purchasers received 100% of their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invested capital by December 31, 2024, the revenue interest rate would be decreased to a single rate of 0.4% of the Company’s net sales in the Covered Territory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on January 1, 2025. If the Third Payment was drawn down by the Company, the applicable royalty rates would have increased by one-third.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Covered Territory was the United States, but was subject to expand to include the world-wide net sales if the Company’s annual U.S. net sales were less than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$350.0 million for the year ended December 31, 2021. The U.S. net sales milestone thresholds were not to be taken as financial guidance. The Purchasers’ rights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receive the Revenue Interests would have terminated on the date on which the Purchasers received Revenue Interests payments of 195% of the then aggregate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price (the “Cumulative Purchaser Payments”) paid to the Company, unless the RIPA were terminated earlier.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RIPA Amendments</w:t>
      </w:r>
    </w:p>
    <w:p>
      <w:pPr>
        <w:spacing w:after="0" w:line="20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w:t>
      </w:r>
    </w:p>
    <w:p>
      <w:pPr>
        <w:spacing w:after="0" w:line="18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Since the Specified Net Revenue for the calendar quarter ended September 30, 2021 did not exceed $15.0 million, the Company deposited $50.0 million in a deposit account subject to a block account control agreement, which was classified as restricted cash on the balance sheets.</w:t>
      </w:r>
    </w:p>
    <w:p>
      <w:pPr>
        <w:spacing w:after="0" w:line="19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November 23, 2022, the Company entered into Waiver and Amendment No. 3 to Revenue Interest Purchase Agreement and Amendment No. 2 to Security Agreement (the “RIPA Amendment 3”). Pursuant to the RIPA Amendment 3, among other things, (a) the Company agreed to make a one-time partial call payment with regards to the Revenue Interests (as defined in the RIPA) in an amount equal to $50.0 million from the restricted cash account (the “Partial Call”), (b) the amount of the Cumulative Purchaser Payments (as defined in the RIPA) was reduced to $177.8 million, and (c) the Purchasers and Purchaser Agent waived certain claimed defaults, breaches and Put Option Events under the RIPA and other related documents that may have occurred as a result of the Company’s opening of a new bank account.</w:t>
      </w:r>
    </w:p>
    <w:p>
      <w:pPr>
        <w:spacing w:after="0" w:line="1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On June 27, 2024, the Company repurchased Revenue Interests outstanding under the RIPA and satisfied all other Obligations (as defined in the RIPA) owed to the Purchasers and the Purchaser Agent by paying to the Purchaser Agent, for the benefit of the Purchasers, a payment in cash of $343.8 million (the “Repurchase Consideration”). 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Liability Related to the Revenue Interest Purchase Agreement (Continued)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7"/>
          <w:szCs w:val="17"/>
          <w:color w:val="auto"/>
        </w:rPr>
        <w:t xml:space="preserve">In connection with the termination of the RIPA in accordance with ASC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Company recorded a loss on debt extinguishment of $53.2 million in the loss on extinguishment of debt and exchange transaction line item of the Statements of Operations and Comprehensive Loss for the year ended December 31, 2024.</w:t>
      </w:r>
    </w:p>
    <w:p>
      <w:pPr>
        <w:spacing w:after="0" w:line="17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As of December 31, 2024, the Company no longer has the liability referred to as the “Revenue interest liability” on the balance sheet. The Company imputed interest expense associated with the liability using the effective interest rate method through the repurchase date of June 27, 2024. The effective interest rate was calculated based on the rate that would enable the debt to be repaid in full over the anticipated life of the arrangement. The interest rate on the liability varied during the term of the agreement depending on a number of factors, including the level of forecasted net sales. The Company evaluated the interest rate quarterly based on its current net sales forecasts utilizing the prospective method.</w:t>
      </w:r>
    </w:p>
    <w:p>
      <w:pPr>
        <w:spacing w:after="0" w:line="17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Company recorded approximately $21.6 million, and $46.7 million in interest expense related to this arrangement for the years ended December 31, 2024, and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revenue interest liability activity during the year ended December 31, 2024:</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9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interest liability at December 31, 2023</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274,778</w:t>
            </w:r>
          </w:p>
        </w:tc>
      </w:tr>
      <w:tr>
        <w:trPr>
          <w:trHeight w:val="220"/>
        </w:trPr>
        <w:tc>
          <w:tcPr>
            <w:tcW w:w="9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 recognized</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21,569</w:t>
            </w:r>
          </w:p>
        </w:tc>
      </w:tr>
      <w:tr>
        <w:trPr>
          <w:trHeight w:val="220"/>
        </w:trPr>
        <w:tc>
          <w:tcPr>
            <w:tcW w:w="9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interest payments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(5,832)</w:t>
            </w:r>
          </w:p>
        </w:tc>
      </w:tr>
      <w:tr>
        <w:trPr>
          <w:trHeight w:val="220"/>
        </w:trPr>
        <w:tc>
          <w:tcPr>
            <w:tcW w:w="9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Repurchase of Revenue Interests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(343,750)</w:t>
            </w:r>
          </w:p>
        </w:tc>
      </w:tr>
      <w:tr>
        <w:trPr>
          <w:trHeight w:val="220"/>
        </w:trPr>
        <w:tc>
          <w:tcPr>
            <w:tcW w:w="9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53,235</w:t>
            </w:r>
          </w:p>
        </w:tc>
      </w:tr>
      <w:tr>
        <w:trPr>
          <w:trHeight w:val="213"/>
        </w:trPr>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interest liability at December 31, 2024</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9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Sale of Future Royalties</w:t>
      </w:r>
    </w:p>
    <w:p>
      <w:pPr>
        <w:spacing w:after="0" w:line="235"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7"/>
          <w:szCs w:val="17"/>
          <w:color w:val="auto"/>
        </w:rPr>
        <w:t>On June 27, 2024, the Company entered into a Royalty Purchase Agreement ("RPA" or "Purchase Agreement") with OCM IP Healthcare Portfolio LP ("the Purchaser") ("OMERS"). Pursuant to the Purchase Agreement, the Company sold to the Purchaser, and the Purchaser purchased for $304.7 million,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 In connection with the Purchase Agreement, the Company incurred $9.6 million in issuance costs.</w:t>
      </w:r>
    </w:p>
    <w:p>
      <w:pPr>
        <w:spacing w:after="0" w:line="205"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7"/>
          <w:szCs w:val="17"/>
          <w:color w:val="auto"/>
        </w:rPr>
        <w:t>The Purchaser acquired 100% of the Royalty Interests until such time as the Purchaser has received an aggregate amount equal to 1.7x of the Purchase Price (equivalent to $517.9 million). Following receipt of such amount, 100% of all Royalty Interests will revert to the Company. The Purchase Agreement contains other customary terms and conditions, including representations and warranties, covenants and indemnification obligations in favor of each party.</w:t>
      </w:r>
    </w:p>
    <w:p>
      <w:pPr>
        <w:spacing w:after="0" w:line="17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 xml:space="preserve">The Company evaluated the arrangement and determined that the proceeds from the sale of future royalties should be treated as a debt instrument according to ASC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Company imputes interest expense associated with the liability using the effective interest rate method. The effective interest rate is calculated based on the rate that would enable the liability to be repaid in full over the anticipated life of the arrangement. The interest rate on the liability may vary during the term of the agreement depending on a number of factors, including the level and timing of forecasted royalty sales. The Company evaluates the interest rate quarterly based on its expectations of forecasted royalty sales from its license partner, historical experience, third-party forecasts and current market conditions utilizing the prospective method. A significant increase or decrease in future royalty sales will materially impact the royalty sale liability, interest expense and the time period for repayment. The repayment of the royalty sale liability to the Purchaser does not have a fixed repayment schedule. Rather, it will be completely repaid and extinguished when the Company has repaid an aggregate amount equal to 1.7x of the Purchase Price. The $9.6 million in issuance costs will be amortized through interest expense over the life of the agreement. Royalties are remitted to the Purchaser in the subsequent quarter from when it's earned. The Company recognizes those royalties in accounts receivable, net and accounts payable on the Balance Sheets until the royalties are remitted to the Purchaser from DSE.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Sale of Future Royalties (Continued)</w:t>
      </w:r>
    </w:p>
    <w:p>
      <w:pPr>
        <w:spacing w:after="0" w:line="200" w:lineRule="exact"/>
        <w:rPr>
          <w:sz w:val="20"/>
          <w:szCs w:val="20"/>
          <w:color w:val="auto"/>
        </w:rPr>
      </w:pPr>
    </w:p>
    <w:p>
      <w:pPr>
        <w:spacing w:after="0" w:line="255" w:lineRule="exact"/>
        <w:rPr>
          <w:sz w:val="20"/>
          <w:szCs w:val="20"/>
          <w:color w:val="auto"/>
        </w:rPr>
      </w:pPr>
    </w:p>
    <w:p>
      <w:pPr>
        <w:jc w:val="both"/>
        <w:ind w:right="600"/>
        <w:spacing w:after="0" w:line="249" w:lineRule="auto"/>
        <w:rPr>
          <w:sz w:val="20"/>
          <w:szCs w:val="20"/>
          <w:color w:val="auto"/>
        </w:rPr>
      </w:pPr>
      <w:r>
        <w:rPr>
          <w:rFonts w:ascii="Times New Roman" w:cs="Times New Roman" w:eastAsia="Times New Roman" w:hAnsi="Times New Roman"/>
          <w:sz w:val="17"/>
          <w:szCs w:val="17"/>
          <w:color w:val="auto"/>
        </w:rPr>
        <w:t>As of December 31, 2025, the Company has recorded a liability, referred to as the “Royalty sale liability” on the Balance Sheets, of $295.8 million, net of $6.8 million of capitalized issuance costs in connection with the royalty sale liability, which will be amortized to interest expense over the estimated term,</w:t>
      </w:r>
    </w:p>
    <w:p>
      <w:pPr>
        <w:jc w:val="both"/>
        <w:ind w:right="20"/>
        <w:spacing w:after="0" w:line="244" w:lineRule="auto"/>
        <w:rPr>
          <w:sz w:val="20"/>
          <w:szCs w:val="20"/>
          <w:color w:val="auto"/>
        </w:rPr>
      </w:pPr>
      <w:r>
        <w:rPr>
          <w:rFonts w:ascii="Times New Roman" w:cs="Times New Roman" w:eastAsia="Times New Roman" w:hAnsi="Times New Roman"/>
          <w:sz w:val="17"/>
          <w:szCs w:val="17"/>
          <w:color w:val="auto"/>
        </w:rPr>
        <w:t>$2.4 million of which will be amortized over the next 12 months and approximately $4.4 million thereafter. As of December 31, 2024, the Company had recorded a liability of $293.6 million, net of $8.9 million of capitalized issuance costs, in connection with the royalty sale liability. The Company currently expects to repay $87.6 million in the next twelve months.</w:t>
      </w:r>
    </w:p>
    <w:p>
      <w:pPr>
        <w:spacing w:after="0" w:line="200" w:lineRule="exact"/>
        <w:rPr>
          <w:sz w:val="20"/>
          <w:szCs w:val="20"/>
          <w:color w:val="auto"/>
        </w:rPr>
      </w:pPr>
    </w:p>
    <w:p>
      <w:pPr>
        <w:ind w:right="660"/>
        <w:spacing w:after="0" w:line="256" w:lineRule="auto"/>
        <w:rPr>
          <w:sz w:val="20"/>
          <w:szCs w:val="20"/>
          <w:color w:val="auto"/>
        </w:rPr>
      </w:pPr>
      <w:r>
        <w:rPr>
          <w:rFonts w:ascii="Times New Roman" w:cs="Times New Roman" w:eastAsia="Times New Roman" w:hAnsi="Times New Roman"/>
          <w:sz w:val="17"/>
          <w:szCs w:val="17"/>
          <w:color w:val="auto"/>
        </w:rPr>
        <w:t>The Company recorded $57.2 million and $24.7 million in interest expense related to this arrangement for the years ended December 31, 2025 and 2024, respectively, including $2.1 million and $0.8 million of amortized issuance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effective annual imputed interest rate is 1.6% as of December 31, 2025 and 1.3% as of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royalty sale liability activity during the years ended December 31, 2025 and 2024 (in thousands):</w:t>
      </w:r>
    </w:p>
    <w:p>
      <w:pPr>
        <w:spacing w:after="0" w:line="253"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1525" cy="147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Beginning balance of royalty sale liability on June 27, 2024</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Royalty sale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39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Royalties recognized and settled to Purchaser</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47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royalty sale liability at December 31, 2024</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Royalties recognized and settled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39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Interest expense recognized</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royalty sale liability at December 31, 2025</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800" w:hanging="798"/>
        <w:spacing w:after="0"/>
        <w:tabs>
          <w:tab w:leader="none" w:pos="8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304,656</w:t>
      </w:r>
    </w:p>
    <w:p>
      <w:pPr>
        <w:spacing w:after="0" w:line="27"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(9,626)</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(26,077)</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24,657</w:t>
      </w:r>
    </w:p>
    <w:p>
      <w:pPr>
        <w:spacing w:after="0" w:line="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293,610</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(55,055)</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57,211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wp:posOffset>
            </wp:positionV>
            <wp:extent cx="9105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13" w:lineRule="exact"/>
        <w:rPr>
          <w:sz w:val="20"/>
          <w:szCs w:val="20"/>
          <w:color w:val="auto"/>
        </w:rPr>
      </w:pPr>
    </w:p>
    <w:p>
      <w:pPr>
        <w:ind w:left="800" w:hanging="798"/>
        <w:spacing w:after="0"/>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295,766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wp:posOffset>
            </wp:positionV>
            <wp:extent cx="9105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91059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41910</wp:posOffset>
            </wp:positionV>
            <wp:extent cx="9105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1384" w:lineRule="exact"/>
        <w:rPr>
          <w:sz w:val="20"/>
          <w:szCs w:val="20"/>
          <w:color w:val="auto"/>
        </w:rPr>
      </w:pPr>
    </w:p>
    <w:p>
      <w:pPr>
        <w:sectPr>
          <w:pgSz w:w="11900" w:h="16838" w:orient="portrait"/>
          <w:cols w:equalWidth="0" w:num="2">
            <w:col w:w="9080" w:space="720"/>
            <w:col w:w="1400"/>
          </w:cols>
          <w:pgMar w:left="320" w:top="119" w:right="379" w:bottom="1440" w:gutter="0" w:footer="0" w:header="0"/>
          <w:type w:val="continuous"/>
        </w:sectPr>
      </w:pPr>
    </w:p>
    <w:p>
      <w:pPr>
        <w:spacing w:after="0" w:line="4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On December 13, 2024, the Company entered into a credit agreement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(the “Loan”), which was borrowed in full at closing. Proceeds from the Loan were used to repay a portion of the outstanding obligations under the Company’s existing $265.0 million aggregate principal amount 4.00% Convertible Senior Subordinated Notes due November 2025 (the “2025 Notes”) and to pay fees and expenses in connection with the Credit Agreement.</w:t>
      </w:r>
    </w:p>
    <w:p>
      <w:pPr>
        <w:spacing w:after="0" w:line="1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Loan will bear interest at an annual rate of 9.75% if paid in cash, and 11.75% if paid-in-kind. At the Company’s option, interest on the Loan may be paid-in-kind for the first four full fiscal quarters ending after the closing date. The Credit Agreement requires quarterly interest-only payments for the first four years after the closing date and, thereafter, the Loan will partially amortize in quarterly principal payments of 12.50%, with the outstanding balance to be repaid on the maturity date, which shall be five (5) years after the closing date (the “Maturity Date”); provided that, such amortization may be adjusted pursuant to the terms of the Credit Agreement. The Company may, at its option, prepay the Loan in whole or in part at any time, subject to concurrent payment of certain fees and, if prepaid (a) within the first two years after closing, a make-whole premium plus 3%, (b) after the second anniversary of closing and on or prior to the third anniversary, a prepayment premium of 3% and (c) after the third anniversary of closing and on or prior to the fourth anniversary, a prepayment premium of 1% (the “Prepayment Premium”). The Loan is subject to mandatory prepayment in the event of specified asset dispositions, extraordinary receipts, unpermitted debt issuances, change of control, and, in certain circumstances, failure to settle the exchanges of the Company’s Existing Notes, subject to certain exceptions and thresholds and concurrent payment of certain fees and, if prepaid within the first four years of closing, the applicable Prepayment Premium.</w:t>
      </w:r>
    </w:p>
    <w:p>
      <w:pPr>
        <w:spacing w:after="0" w:line="207"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All obligations under the Credit Agreement shall be guaranteed by the Company’s present and future wholly owned subsidiaries, subject to customary exceptions, and secured by assets of Company and the guarantors, including the equity</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 (Continued)</w:t>
      </w:r>
    </w:p>
    <w:p>
      <w:pPr>
        <w:spacing w:after="0" w:line="200" w:lineRule="exact"/>
        <w:rPr>
          <w:sz w:val="20"/>
          <w:szCs w:val="20"/>
          <w:color w:val="auto"/>
        </w:rPr>
      </w:pPr>
    </w:p>
    <w:p>
      <w:pPr>
        <w:spacing w:after="0" w:line="2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interests in the Company’s subsidiaries, subject to customary exceptions. The Credit Agreement contains a financial covenant to maintain minimum liquidity of $50 million. The Credit Agreement contains affirmative and negative covenants customary for a senior secured loan. The negative covenants under the Credit Agreement limit the ability of the Company and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exceptions.</w:t>
      </w:r>
    </w:p>
    <w:p>
      <w:pPr>
        <w:spacing w:after="0" w:line="200" w:lineRule="exact"/>
        <w:rPr>
          <w:sz w:val="20"/>
          <w:szCs w:val="20"/>
          <w:color w:val="auto"/>
        </w:rPr>
      </w:pPr>
    </w:p>
    <w:p>
      <w:pPr>
        <w:spacing w:after="0" w:line="21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The Credit Agreement also contains certain customary events of default, including, but not limited to, a failure to comply with the covenants in the Credit Agreement. If an event of default has occurred and continues beyond any applicable cure period, the administrative agent or the required lenders may accelerate all outstanding obligations under the Credit Agreement and/or exercise any other remedies provided under the loan documents.</w:t>
      </w:r>
    </w:p>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connection with the borrowing of the Loan, the Company incurred 2.5% of original issue discount ("OID"), or approximately $3.8 million. In addition, the Company incurred debt issuance costs of $5.4 million in connection with the borrowing of the Loan. Both the OID and debt issuance costs were capitalized and included in long-term debt on the Balance Sheets at the inception of the Loan, and are being amortized to interest expense using the effective interest method over the same term. As the Company elected to have interest on the loan paid-in-kind for the quarter ended June 30, 2025 and for the quarter ended September 30, 2025, $9.1 million was added to the principal balance of the Loan. As of December 31, 2025, the Company recognized $152.2 million of long-term debt related to the Credit Agreement on the Balance Sheets, net of the remaining unamortized discount and debt issuance costs associated with the Loan of $2.8 million and approximately $4.1 million, respectively. As of December 31, 2024, the Company recognized $141.0 million of long-term debt related to the Credit Agreement on the Balance Sheets, net of the remaining unamortized discount and debt issuance costs associated with the Loan of $3.7 million and $5.3 million, respectively. During the years ended December 31, 2025 and 2024, the Company recognized $18.9 million and $0.8 million of interest expense,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Notes</w:t>
      </w:r>
    </w:p>
    <w:p>
      <w:pPr>
        <w:spacing w:after="0" w:line="22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“2025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2025 Notes were the Company's senior unsecured obligations and matured on November 15, 2025 (the “Maturity Date”). The 2025 Notes were convertible into shares of the Company’s common stock, and could have been repurchased for cash, or a combination thereof, at the Company’s election, at an initial conversion rate of 30.2151 shares of common stock per $1,000 principal amount of the 2025 Notes, which is equivalent to an initial conversion price of approximately $33.096 per share of common stock, subject to adjustment. The Company paid interest on the 2025 Notes semi-annually in arrears on May 15 and November 15 of each year.</w:t>
      </w:r>
    </w:p>
    <w:p>
      <w:pPr>
        <w:spacing w:after="0" w:line="19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On October 22, 2021, the Company entered into a privately negotiated exchange agreement (the “2021 Exchange Agreement”) with two co-managed holders (the “Holders”) of its 2025 Notes. Under the terms of the 2021 Exchange Agreement the Holders agreed to exchange (the “2021 Exchange”) with the Company $15.0 million aggregate principal amount of the Convertible Notes held in the aggregate by them (and accrued interest thereon) for shares of the Company’s common stock. Pursuant to the 2021 Exchange Agreement, the number of shares of common stock to be issued by the Company to the Holders upon consummation of the 2021 Exchange was determined based upon the volume-weighted-average-price per share of common stock, subject to a floor of $5.62 per share, during the five trading-day averaging period, commencing on the trading day immediately following the date of the 2021 Exchange Agreement. The 2021 Exchange closed on November 3, 2021 with 1,094,848 shares of the Company's common stock being exchanged.</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On December 12, 2024, the Company entered into privately negotiated exchange and subscription agreements with certain holders of its 4.00% Convertible Senior Subordinated Notes due 2025 (the “2025 Notes”) pursuant to which the Company issued $100.0 million aggregate principal amount of 5.75% Convertible Senior Subordinated Notes due in June 2030 (the “2030 Notes”) consisting of (a) approximately $57.5 million principal amount of 2030 Notes, along with approximately $153.4 million in cash, including accrued interest, issued in exchange for approximately $210.1 million principal amount of</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 (Continued)</w:t>
      </w:r>
    </w:p>
    <w:p>
      <w:pPr>
        <w:spacing w:after="0" w:line="200" w:lineRule="exact"/>
        <w:rPr>
          <w:sz w:val="20"/>
          <w:szCs w:val="20"/>
          <w:color w:val="auto"/>
        </w:rPr>
      </w:pPr>
    </w:p>
    <w:p>
      <w:pPr>
        <w:spacing w:after="0" w:line="27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2025 Notes (the “Exchange Transaction”). The Company also issued and sold approximately $42.5 million aggregate principal amount of 2030 Notes for cash, pursuant to privately negotiated agreements (the “Subscription Transactions” and, together with the Exchange Transaction, the “Transaction”). The Exchange Transaction closed on December 17, 2024 under an Indenture between the Company and U.S. Bank Trust Company, National Association, as trustee. In exchange for issuing the 2030 Notes pursuant to the Exchange Transaction, the Company received and cancelled the exchanged 2025 Notes.</w:t>
      </w:r>
    </w:p>
    <w:p>
      <w:pPr>
        <w:spacing w:after="0" w:line="17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Company accounted for the Exchange as an extinguishment of a liability and calculated the loss on extinguishment of debt under ASC 470-50-40, which requires the difference between the reacquisition price of the debt and the net carrying amount of the extinguished debt to be recognized in the income statement. The reacquisition price of the 2025 Notes was the amount of principal exchanged. The net carrying amount of the debt was calculated by the face value of the notes less the unamortized debt issuance costs associated with the face value of the notes. The Company recognized a loss of $1.7 million in "Loss on extinguishment of debt and exchange transaction" on the Statements of Operations and Comprehensive Loss during the year ended December 31, 2024.</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November 2025, the Company repaid the 2025 notes in full for $54.9 million. As of December 31, 2025, no principal amount or unamortized debt discount and issuance costs remained on the balance sheet. As of December 31, 2024, the principal amount of 2025 notes was $54.9 million, and the unamortized debt discount and issuance costs were $0.3 million, for a net carrying amount of $54.6 million.</w:t>
      </w:r>
    </w:p>
    <w:p>
      <w:pPr>
        <w:spacing w:after="0" w:line="204" w:lineRule="exact"/>
        <w:rPr>
          <w:sz w:val="20"/>
          <w:szCs w:val="20"/>
          <w:color w:val="auto"/>
        </w:rPr>
      </w:pPr>
    </w:p>
    <w:p>
      <w:pPr>
        <w:ind w:right="840"/>
        <w:spacing w:after="0" w:line="288" w:lineRule="auto"/>
        <w:rPr>
          <w:sz w:val="20"/>
          <w:szCs w:val="20"/>
          <w:color w:val="auto"/>
        </w:rPr>
      </w:pPr>
      <w:r>
        <w:rPr>
          <w:rFonts w:ascii="Times New Roman" w:cs="Times New Roman" w:eastAsia="Times New Roman" w:hAnsi="Times New Roman"/>
          <w:sz w:val="17"/>
          <w:szCs w:val="17"/>
          <w:color w:val="auto"/>
        </w:rPr>
        <w:t>The Company recorded $2.2 million, $12.0 million, and $12.3 million of interest expense during the years ended December 31, 2025, 2024, and 2023, respectively, relating to the cash interest on the 2025 notes due semi-annually and amortization of the debt issuance costs.</w:t>
      </w:r>
    </w:p>
    <w:p>
      <w:pPr>
        <w:spacing w:after="0" w:line="177"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7"/>
          <w:szCs w:val="17"/>
          <w:color w:val="auto"/>
        </w:rPr>
        <w:t>The estimated fair value of the 2025 Notes was $53.2 million as of December 31, 2024. The estimated fair value of the 2025 Notes was determined through consideration of quoted market prices.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2030 Notes</w:t>
      </w:r>
    </w:p>
    <w:p>
      <w:pPr>
        <w:spacing w:after="0" w:line="248"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As noted above, the Company issued $100 million aggregate principal amount of 5.75% Convertible Senior Subordinated Notes due 2030 (the “2030 Notes”) on December 17, 2024. The Company incurred approximately $3.3 million of issuance costs associated with the 2030 Notes.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2030 Notes mature on June 15, 2030, unless earlier converted, redeemed or repurchased. The 2030 Notes are the Company’s senior unsecured obligations and will pay interest on the 2030 Notes at an annual rate of 5.75% payable in cash semiannually in arrears on June 15 and December 15 of each year, beginning June 15, 2025. Before March 15, 2030, holders of the 2030 Notes will have the right to convert their notes only upon the occurrence of certain events. From and after March 15, 2030, holders may convert their notes at any time at their election until the close of business on the second scheduled trading day immediately before the maturity date. The Company will have the right to elect to settle conversions by paying or delivering, as applicable, cash, shares of its common stock or a combination of cash and shares of its common stock. The initial conversion rate is 326.7974 shares of common stock per $1,000 principal amount of notes, which represents an initial conversion price of approximately $3.06 per share of common stock. The conversion rate and conversion price will be subject to adjustment upon the occurrence of certain events. The indenture governing the 2030 Notes includes certain restrictive covenants that limits the Company’s ability to incur additional indebtedness, subject to certain exceptions.</w:t>
      </w:r>
    </w:p>
    <w:p>
      <w:pPr>
        <w:spacing w:after="0" w:line="20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The 2030 Notes will be redeemable, in whole or in part, for cash at the Company’s option at any time, and from time to time, on or after December 20, 2027 and prior to the forty-first (41st) scheduled trading day immediately before the maturity date, but only if the last reported sale price per share exceeds 130% of the conversion price for a specified period of time and certain other conditions are satisfied. The redemption price will be equal to the principal amount of the 2030 Notes to be redeemed, plus accrued and unpaid interest, if any, to, but excluding, the redemption date.</w:t>
      </w:r>
    </w:p>
    <w:p>
      <w:pPr>
        <w:spacing w:after="0" w:line="196"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In addition, if the Company undergoes a “fundamental change” (as defined in the Indenture), subject to certain conditions, holders may require the Company to repurchase for cash all or part of their 2030 Notes in principal amounts of $1,000 or an integral multiple thereof. The repurchase price will be equal to the principal amount of the 2030 Notes to be repurchased, plus accrued and unpaid interest, if any, to, but excluding, the applicable repurchase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 (Continued)</w:t>
      </w:r>
    </w:p>
    <w:p>
      <w:pPr>
        <w:spacing w:after="0" w:line="200" w:lineRule="exact"/>
        <w:rPr>
          <w:sz w:val="20"/>
          <w:szCs w:val="20"/>
          <w:color w:val="auto"/>
        </w:rPr>
      </w:pPr>
    </w:p>
    <w:p>
      <w:pPr>
        <w:spacing w:after="0" w:line="27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Indenture provides for customary events of default, including payment defaults, breaches of covenants, failure to pay certain judgments and certain events of bankruptcy, insolvency and reorganization. If an event of default occurs and is continuing, the principal amount of the 2030 Notes, plus accrued and unpaid interest, if any, may be declared immediately due and payable, subject to certain conditions set forth in the Indenture. These amounts automatically become due and payable if an event of default relating to certain events of bankruptcy, insolvency or reorganization occurs.</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As of December 31, 2025, the principal amount of 2030 notes was $100.0 million, and the unamortized debt issuance costs were $2.7 million, for a net carrying amount of $97.3 million. As of December 31, 2024, the principal amount of 2030 notes was $100.0 million, and the unamortized debt issuance costs were $3.3 million, for a net carrying amount of $96.7 million.</w:t>
      </w:r>
    </w:p>
    <w:p>
      <w:pPr>
        <w:spacing w:after="0" w:line="204"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Company recorded $6.3 million and $0.2 million, respectively, of interest expense during the years ended December 31, 2025 and 2024 relating to the cash interest on the 2030 notes due semi-annually and amortization of the debt issuance costs.</w:t>
      </w:r>
    </w:p>
    <w:p>
      <w:pPr>
        <w:spacing w:after="0" w:line="17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7"/>
          <w:szCs w:val="17"/>
          <w:color w:val="auto"/>
        </w:rPr>
        <w:t>As of December 31, 2025, no 2030 Notes were convertible pursuant to their terms. The estimated fair value of the 2030 Notes was $145.3 million as of December 31, 2025 and $105.4 million as of December 31, 2024. The estimated fair value of the 2030 Notes was determined through consideration of quoted market prices. As of December 31, 2025, the if-converted value of the 2030 Notes exceeded the principal value of those notes by approximately $20.9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in compliance with all of its covenants at December 31,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future principal payments due under the Loan and the 2030 Notes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520" w:type="dxa"/>
            <w:vAlign w:val="bottom"/>
          </w:tcPr>
          <w:p>
            <w:pPr>
              <w:spacing w:after="0"/>
              <w:rPr>
                <w:sz w:val="19"/>
                <w:szCs w:val="19"/>
                <w:color w:val="auto"/>
              </w:rPr>
            </w:pPr>
          </w:p>
        </w:tc>
        <w:tc>
          <w:tcPr>
            <w:tcW w:w="2380" w:type="dxa"/>
            <w:vAlign w:val="bottom"/>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20"/>
        </w:trPr>
        <w:tc>
          <w:tcPr>
            <w:tcW w:w="32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2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2027</w:t>
            </w:r>
          </w:p>
        </w:tc>
        <w:tc>
          <w:tcPr>
            <w:tcW w:w="5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2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2028</w:t>
            </w:r>
          </w:p>
        </w:tc>
        <w:tc>
          <w:tcPr>
            <w:tcW w:w="5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19,887</w:t>
            </w:r>
          </w:p>
        </w:tc>
      </w:tr>
      <w:tr>
        <w:trPr>
          <w:trHeight w:val="220"/>
        </w:trPr>
        <w:tc>
          <w:tcPr>
            <w:tcW w:w="32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2029</w:t>
            </w:r>
          </w:p>
        </w:tc>
        <w:tc>
          <w:tcPr>
            <w:tcW w:w="5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139,206</w:t>
            </w:r>
          </w:p>
        </w:tc>
      </w:tr>
      <w:tr>
        <w:trPr>
          <w:trHeight w:val="220"/>
        </w:trPr>
        <w:tc>
          <w:tcPr>
            <w:tcW w:w="32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2030</w:t>
            </w:r>
          </w:p>
        </w:tc>
        <w:tc>
          <w:tcPr>
            <w:tcW w:w="5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20"/>
        </w:trPr>
        <w:tc>
          <w:tcPr>
            <w:tcW w:w="32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2031</w:t>
            </w:r>
          </w:p>
        </w:tc>
        <w:tc>
          <w:tcPr>
            <w:tcW w:w="5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32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259,093</w:t>
            </w:r>
          </w:p>
        </w:tc>
      </w:tr>
      <w:tr>
        <w:trPr>
          <w:trHeight w:val="20"/>
        </w:trPr>
        <w:tc>
          <w:tcPr>
            <w:tcW w:w="3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Capped Call Transactions</w:t>
      </w:r>
    </w:p>
    <w:p>
      <w:pPr>
        <w:spacing w:after="0" w:line="2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connection with the offering of the 2025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2025 Notes to pay the cost of the capped call transactions. The capped call transactions were expected generally to reduce potential dilution to the Company’s common stock upon any conversion of the 2025 Notes and/or offset any cash payments the Company was required to make in excess of the principal amount of converted notes, as the case may be, in the event that the market value per share of the Company’s common stock, as measured under the terms of the capped call transactions at the time of exercise, was greater than the strike price of the capped call transactions (which initially corresponded to the initial conversion price of the 2025 Notes, and was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were separate transactions, entered into by the Company and were not part of the terms of the 2025 Notes.</w:t>
      </w:r>
    </w:p>
    <w:p>
      <w:pPr>
        <w:spacing w:after="0" w:line="1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Given that the transactions meet certain accounting criteria, the convertible note capped call transactions were recorded in stockholders’ deficit, and they were not accounted for as derivatives and are not remeasured each reporting period. The Company did not purchased any shares under the convertible note capped call transactions.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 (Continued)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Prepaid Forward</w:t>
      </w:r>
    </w:p>
    <w:p>
      <w:pPr>
        <w:spacing w:after="0" w:line="2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connection with the offering of the 2025 Notes, the Company entered into a prepaid forward stock repurchase transaction (“Prepaid Forward”) with a financial institution (“Forward Counterparty”). Pursuant to the Prepaid Forward, the Company used approximately $55.0 million of the net proceeds from the offering of the 2025 Notes to fund the Prepaid Forward. The aggregate number of shares of the Company’s common stock underlying the Prepaid Forward was approximately 1,994,198. The expiration date for the Prepaid Forward was November 15, 2025, although it may have been settled earlier in whole or in part. Upon settlement of the Prepaid Forward, at expiration or upon any early settlement, the Forward Counterparty delivered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remained outstanding for corporate law purposes, including for purposes of any stockholders’ votes, until the Forward Counterparty delivered the shares underlying the Prepaid Forward to the Company. As of December 31, 2025, 1,994,198 shares had been delivered to the Company. The Company’s Prepaid Forward hedge transaction exposed the Company to credit risk to the extent that its counterparty may have been unable to meet the terms of the transaction. The Company mitigated this risk by limiting its counterparty to a major financial institution.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Stockholders' Deficit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Offering</w:t>
      </w:r>
    </w:p>
    <w:p>
      <w:pPr>
        <w:spacing w:after="0" w:line="23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On October 7, 2025, the Company entered into the 2025 Underwriting Agreement with Piper Sandler &amp; Co. and Cantor Fitzgerald &amp; Co., as representatives of the 2025 Underwriters, pursuant to which the Company issued and sold an aggregate of 31,065,000 shares of Common Stock, which includes the partial exercise of the 2025 Underwriters’ option to purchase 1,065,000 additional shares, at the public offering price of $2.50 per share. As a result of the Offering, the Company received approximately $72.6 million in net proceeds, after deducting the underwriting discount and offering expenses of approximately $5.1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Underwriting Agreement</w:t>
      </w:r>
    </w:p>
    <w:p>
      <w:pPr>
        <w:spacing w:after="0" w:line="235"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7"/>
          <w:szCs w:val="17"/>
          <w:color w:val="auto"/>
        </w:rPr>
        <w:t>On January 18, 2024, the Company entered into the Underwriting Agreement with Jefferies, as representative of the Underwriters, related to the January 2024 Offering of 56,700,000 shares of Common Stock of the Company,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2024 Offering closed on January 23, 2024, with proceeds to the Company of approximately $90.7 million, after deducting the underwriting discount and estimated offering expenses of $7.1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ATM Offering</w:t>
      </w:r>
    </w:p>
    <w:p>
      <w:pPr>
        <w:spacing w:after="0" w:line="23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On February 21, 2023, the Company entered into a Controlled Equity Offering Sales Agreement with Cantor Fitzgerald &amp; Co., as sales agent, to provide for the issuance and sale by the Company of up to $70 million of shares of the Company's common stock from time to time in “at-the-market” offerings (the "2023 ATM Program"), pursuant to its existing Form S-3 and the prospectus supplement to be filed on February 21, 2023. The Company may continue to use the 2023 ATM Program to address potential short-term or long-term funding requirements that may arise. Such program will continue to be subject to the volatility of the price of the Company's common stock and general market conditions. During the year ended December 31, 2023, the Company issued 3,312,908 shares of common stock resulting in net proceeds of approximately $4.4 million after deducting $0.4 million of underwriting discounts and commissions and other expenses, pursuant to the 2023 ATM Program. During the year ended December 31, 2024, the Company issued 378,902 shares of common stock resulting in net proceeds of approximately $0.5 million after deducting approximately $0.2 million of commissions and other expenses. During the year ended December 31, 2025, the Company issued 7,661,505 shares of common stock resulting in net proceeds of approximately $15.4 million after deducting approximately $0.4 million of commissions and other expenses.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Stockholders' Deficit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4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connection with an underwriting agreement with H.C. Wainwright &amp; Co., LLC ("Wainwright") on December 2, 2021, the Company issued warrants to purchase 36,964,286 shares of common stock at an exercise price of $9.00 and an expiration date of December 7, 2023. The warrants were recorded at fair value of</w:t>
      </w:r>
    </w:p>
    <w:p>
      <w:pPr>
        <w:ind w:right="120"/>
        <w:spacing w:after="0" w:line="260" w:lineRule="auto"/>
        <w:rPr>
          <w:sz w:val="20"/>
          <w:szCs w:val="20"/>
          <w:color w:val="auto"/>
        </w:rPr>
      </w:pPr>
      <w:r>
        <w:rPr>
          <w:rFonts w:ascii="Times New Roman" w:cs="Times New Roman" w:eastAsia="Times New Roman" w:hAnsi="Times New Roman"/>
          <w:sz w:val="17"/>
          <w:szCs w:val="17"/>
          <w:color w:val="auto"/>
        </w:rPr>
        <w:t>$61.9 million to additional-paid-in-capital in accordance with ASC 815-10 based upon the allocation of the proceeds between the common shares issued with the December 2021 Offering and the warrants. On December 7, 2023, 27,940,074 of these warrants expired. The remaining 9,024,212 warrants were amended as described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Registered Direct Offering and Warrant Amendment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19, 2023, the Company entered into a Purchase Agreement with the Purchasers pursuant to which the Company agreed to issue and sell, in a Registered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 Offering, 12,205,000 shares of its Common Stock, par value $0.001 per share, Pre-Funded Warrants to purchase up to an aggregate of 20,965,747 shares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in lieu of shares of Common Stock, and Warrants to purchase up to 33,170,747 shares of Common Stock. The combined purchase price of each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of Common Stock and accompanying Warrant is $1.675 per share. The Warrants expire on September 22, 2026 and have an exercise price of $1.55.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price of each Pre-Funded Warrant is $1.674 (equal to the combined purchase price per share of Common Stock and accompanying Warrant, minus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$0.001). The Purchase Agreement contains customary representations, warranties, covenants and indemnification rights and obligations of the Company and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The Registered Direct Offering closed on March 22, 2023. The warrants and pre-funded warrants were recorded at fair value of $22.8 million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additional-paid-in-capital in accordance with ASC 815-10 based upon the allocation of the proceeds between the common shares issued with the Registered Direct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and the warrants and pre-funded warrants. The Company estimated the fair value of the warrants using a Black-Scholes option-pricing model, which 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in part, upon subjective assumptions including but not limited to stock price volatility, the expected life of the warrant, the risk-free interest rate and the fair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of the common stock underlying the warrant. The Company estimates the volatility based on its historical volatility that is in line with the expected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remaining life of the warrants. The risk-free interest rate is based on the U.S. Treasury daily rate for a maturity similar to the expected remaining life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warrants. The expected remaining life of the warrants is assumed to be equivalent to its remaining contractual term. The Company estimated the fair value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pre-funded warrants based on the market price of the Company's common stock at issuance.</w:t>
      </w:r>
    </w:p>
    <w:p>
      <w:pPr>
        <w:spacing w:after="0" w:line="2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connection with the Registered Direct Offering, the Company amended, pursuant to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Registered Direct Offering, such that the amended warrants have a reduced exercise price of $1.55 per share and expire three and one half years following the closing of the Registered Direct Offering, or September 22, 2026, for additional consideration of $0.125 per amended warrant. Based on the change in the fair value of the amended warrants, the Company recorded issuance costs to additional paid-in capital of $2.9 million in the year ended December 31, 2023.</w:t>
      </w:r>
    </w:p>
    <w:p>
      <w:pPr>
        <w:spacing w:after="0" w:line="20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Company received gross proceeds of approximately $55.5 million from the Registered Direct Offering, before deducting placement agent fees and related offering expenses. The net proceeds to the Company from the Registered Direct Offering, after deducting the placement agent fees and expenses and the Company’s estimated offering expenses of $4.2 million, were approximately $51.3 million. In addition, the Company received approximately $1.2 million as the gross consideration in connection with the Warrant Amendment Agreements. The net proceeds of the Warrant Amendment Agreements after deducting placement fees of $0.1 million were approximately $1.1 million.</w:t>
      </w:r>
    </w:p>
    <w:p>
      <w:pPr>
        <w:spacing w:after="0" w:line="18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During the year ended December 31, 2025, 2024 and 2023, 7,178,729, 10,272,783, and 5,850,747 shares of warrants were exercised, respectively. During the year ended December 31, 2023, 20,965,747 shares of pre-funded warrants were exercised. Additionally, subsequent to December 31, 2025, 11,250,000 warrants were exercised for $16.2 million in net proceeds, after issuance fees. As of December 31, 2025 and 2024, no pre-funded warrants were outstanding. As of December 31, 2025 and 2024, the company had 18,892,700 and 26,071,429 of outstanding warrants related to the Warrant Amendment Agreements and Purchase Agreement, respectively, at a weighted average exercise price of $1.55 and an expiration date of September 22, 2026.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Stock Option and Incentive Plan</w:t>
      </w:r>
    </w:p>
    <w:p>
      <w:pPr>
        <w:spacing w:after="0" w:line="20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In May 2022, the Company's stockholders approved the 2022 Stock Option and Incentive Plan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2013 Stock Option and Incentive Plan (the “2013 Plan”). In June 2023, the Company's stockholders approved an amendment to the 2022 Plan, which increased the number of shares of common stock reserved for awards under the 2022 Plan to 10,650,000. In May 2024, the Company's stockholders approved a second amendment to the 2022 Plan, which increased the number of shares of Common Stock reserved for awards under the 2022 Plan to 16,900,000. In May 2025, the Company's stockholders approved a third amendment to the 2022 Plan, which increased the number of shares of Common Stock reserved for awards under the 2022 Plan by 6,250,000 for a total of 23,150,000.</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2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In April 2020, the board of directors approved the Esperion Therapeutics, Inc. 2020 Employee Stock Purchase Plan (the "ESPP") which was approved by the Company's shareholders on May 28, 2020. In May 2024, the Company's stockholders approved a second amendment to the ESPP, which increased the number of shares of Common Stock reserved for future issuance under the ESPP by an additional 6,175,000 shares.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The Company paused the ESPP effective as of September 1, 2023, such that the offering period which would otherwise have begun on September 1, 2023 did not commence. The Company resumed the ESPP effective as of September 1, 2024, such that the offering period commenced on September 1, 2024. During the years ended December 31, 2025, 2024 and 2023, the Company recognized</w:t>
      </w:r>
    </w:p>
    <w:p>
      <w:pPr>
        <w:spacing w:after="0" w:line="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$0.4 million, $0.2 million and $0.3 million of stock compensation expense related to the ESPP, respectively. As of December 31, 2025, there have been 1,307,380 shares issued and 5,692,620 shares reserved for future issuance under the ESPP.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2017 Inducement Equity Plan</w:t>
      </w:r>
    </w:p>
    <w:p>
      <w:pPr>
        <w:spacing w:after="0" w:line="2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May 2017, the Company's board of directors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2013 Stock Option and Incentive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May 2015, the Company’s stockholders approved the amended and restated 2013 Plan which, among other things, increased the number of shares of common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reserved for issuance thereunder. The number of shares of common stock available for awards under the 2013 Plan was increased by 923,622 shares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2,051,378 shares to 2,975,000 shares, plus (i) shares of common stock that are forfeited, cancelled, held back upon the exercise or settlement of an award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the exercise price or tax withholding, reacquired by the Company prior to vesting, satisfied without the issuance of common stock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 (Continued)</w:t>
      </w:r>
    </w:p>
    <w:p>
      <w:pPr>
        <w:spacing w:after="0" w:line="200" w:lineRule="exact"/>
        <w:rPr>
          <w:sz w:val="20"/>
          <w:szCs w:val="20"/>
          <w:color w:val="auto"/>
        </w:rPr>
      </w:pPr>
    </w:p>
    <w:p>
      <w:pPr>
        <w:spacing w:after="0" w:line="31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or otherwise terminated (other than by exercise) under the 2013 Plan and the Company’s 2008 Incentive Stock Option and Restricted Stock Plan are added back to the shares of common stock available for issuance under the 2013 Plan, and (ii) on January 1, 2016, and each January 1, thereafter (prior to the approval of the 2022 Plan), the number of shares of common stock reserved and available for issuance under the 2013 Plan will be cumulatively increased by 2.5% of the number of shares of common stock outstanding on the immediately preceding December 31, or such lesser number of shares of common stock determined by the compensation committee. The 2013 Plan provides for the granting of stock options, stock appreciation rights, restricted stock awards, RSUs, unrestricted stock awards, cash-based awards, performance share awards and dividend equivalent rights.</w:t>
      </w:r>
    </w:p>
    <w:p>
      <w:pPr>
        <w:spacing w:after="0" w:line="1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Company incurs stock-based compensation expense related to stock options, performance-based stock options ("PBSOs"), RSUs and performance-based restricted stock units ("PBRSUs"). The fair value of RSUs and PBRSUs is determined by the closing market price of the Company’s common stock on the date of grant. The fair value of stock options and PBSOs is calculated using a Black-Scholes option-pricing model. Compensation costs related to equity instruments granted are recognized over the requisite service periods of the awards on a straight-line basis at the grant-date fair value. The Company accounts for forfeitures as they occur.</w:t>
      </w:r>
    </w:p>
    <w:p>
      <w:pPr>
        <w:spacing w:after="0" w:line="1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Under the 2022 Plan, 2017 Plan, and 2013 Plan the vesting of options granted or restricted awards given will be determined individually with each option grant. Generally, 25% of the granted amount will vest upon the first anniversary of the option grant with the remainder vesting ratably on the first day of each calendar quarter for the following three years. Stock options have a 10-year life and expire if not exercised within that period, or if not exercised within 90 days of cessation of providing service to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options to purchase common stock for the year ended December 31, 2025:</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6"/>
                <w:szCs w:val="16"/>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94"/>
        </w:trPr>
        <w:tc>
          <w:tcPr>
            <w:tcW w:w="4500" w:type="dxa"/>
            <w:vAlign w:val="bottom"/>
          </w:tcPr>
          <w:p>
            <w:pPr>
              <w:spacing w:after="0"/>
              <w:rPr>
                <w:sz w:val="16"/>
                <w:szCs w:val="16"/>
                <w:color w:val="auto"/>
              </w:rPr>
            </w:pPr>
          </w:p>
        </w:tc>
        <w:tc>
          <w:tcPr>
            <w:tcW w:w="158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Term (Years)</w:t>
            </w:r>
          </w:p>
        </w:tc>
        <w:tc>
          <w:tcPr>
            <w:tcW w:w="220" w:type="dxa"/>
            <w:vAlign w:val="bottom"/>
          </w:tcPr>
          <w:p>
            <w:pPr>
              <w:spacing w:after="0"/>
              <w:rPr>
                <w:sz w:val="16"/>
                <w:szCs w:val="16"/>
                <w:color w:val="auto"/>
              </w:rPr>
            </w:pPr>
          </w:p>
        </w:tc>
        <w:tc>
          <w:tcPr>
            <w:tcW w:w="13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r>
      <w:tr>
        <w:trPr>
          <w:trHeight w:val="23"/>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5,177,511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220"/>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2,581,040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Forfeited or cancelled (vested and unvested)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(891,000)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(89,660)</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1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6,777,891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7,999</w:t>
            </w:r>
          </w:p>
        </w:tc>
      </w:tr>
      <w:tr>
        <w:trPr>
          <w:trHeight w:val="21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December 31,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6,777,891</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7,999</w:t>
            </w:r>
          </w:p>
        </w:tc>
      </w:tr>
      <w:tr>
        <w:trPr>
          <w:trHeight w:val="23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3,498,581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8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The total pre-tax intrinsic value of stock options exercised during the years ended December 31, 2025 and December 31, 2024 was $0.1 million and less than $0.1 million. No stock options were exercised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 (Continued)</w:t>
      </w:r>
    </w:p>
    <w:p>
      <w:pPr>
        <w:spacing w:after="0" w:line="200" w:lineRule="exact"/>
        <w:rPr>
          <w:sz w:val="20"/>
          <w:szCs w:val="20"/>
          <w:color w:val="auto"/>
        </w:rPr>
      </w:pPr>
    </w:p>
    <w:p>
      <w:pPr>
        <w:spacing w:after="0" w:line="311"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The following table shows the weighted-average assumptions used to compute the stock-based compensation costs for the stock options granted to employees during each of the two years ending December 31, 2025, using the Black-Scholes option-pricing model: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36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100" w:type="dxa"/>
            <w:vAlign w:val="bottom"/>
            <w:shd w:val="clear" w:color="auto" w:fill="CCEEFF"/>
          </w:tcPr>
          <w:p>
            <w:pPr>
              <w:spacing w:after="0"/>
              <w:rPr>
                <w:sz w:val="18"/>
                <w:szCs w:val="18"/>
                <w:color w:val="auto"/>
              </w:rPr>
            </w:pPr>
          </w:p>
        </w:tc>
      </w:tr>
      <w:tr>
        <w:trPr>
          <w:trHeight w:val="22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expected life of options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shd w:val="clear" w:color="auto" w:fill="CCEEFF"/>
          </w:tcPr>
          <w:p>
            <w:pPr>
              <w:spacing w:after="0"/>
              <w:rPr>
                <w:sz w:val="19"/>
                <w:szCs w:val="19"/>
                <w:color w:val="auto"/>
              </w:rPr>
            </w:pPr>
          </w:p>
        </w:tc>
      </w:tr>
      <w:tr>
        <w:trPr>
          <w:trHeight w:val="22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tcPr>
          <w:p>
            <w:pPr>
              <w:spacing w:after="0"/>
              <w:rPr>
                <w:sz w:val="19"/>
                <w:szCs w:val="19"/>
                <w:color w:val="auto"/>
              </w:rPr>
            </w:pPr>
          </w:p>
        </w:tc>
      </w:tr>
    </w:tbl>
    <w:p>
      <w:pPr>
        <w:spacing w:after="0" w:line="2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risk-free interest rate assumption was based on the United States Treasury’s rates for U.S. Treasury zero-coupon bonds with maturities similar to those of the expected term of the award being valued. The assumed dividend yield was based on the Company’s expectation of not paying dividends in the foreseeable future. The weighted-average expected life of the options was calculated using the simplified method as prescribed by the Securities and Exchange Commission Staff Accounting Bulletin No. 107 (“SAB No. 107”). This decision was based on the lack of relevant historical data due to the Company’s limited historical experience. The Company estimates volatility based on the Company's historical stock prices over the expected life of the stock options.</w:t>
      </w:r>
    </w:p>
    <w:p>
      <w:pPr>
        <w:spacing w:after="0" w:line="17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The weighted-average grant-date fair values of stock options granted during the years ended December 31, 2025, 2024 and 2023 were $1.30, $1.55 and $2.51, respectively. The total fair value of shares vested during the years ended December 31, 2025, 2024 and 2023 were $3.1 million, $4.1 million and $4.1 million, respectively. During the years ended December 31, 2025, 2024 and 2023 the Company recognized stock-based compensation expense related to stock options of $2.9 million, $4.1 million and $3.8 million, including $0.2 million, $0.3 million and $0.2 million that was capitalized into inventory, respectively.</w:t>
      </w:r>
    </w:p>
    <w:p>
      <w:pPr>
        <w:spacing w:after="0" w:line="170"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As of December 31, 2025, there was approximately $4.8 million of unrecognized compensation cost related to unvested options, which will be recognized over a weighted-average period of approximately 2.6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RSUs for the year ended December 31, 2025:</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900" w:type="dxa"/>
            <w:vAlign w:val="bottom"/>
          </w:tcPr>
          <w:p>
            <w:pPr>
              <w:spacing w:after="0"/>
              <w:rPr>
                <w:sz w:val="15"/>
                <w:szCs w:val="15"/>
                <w:color w:val="auto"/>
              </w:rPr>
            </w:pP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4"/>
        </w:trPr>
        <w:tc>
          <w:tcPr>
            <w:tcW w:w="7900" w:type="dxa"/>
            <w:vAlign w:val="bottom"/>
          </w:tcPr>
          <w:p>
            <w:pPr>
              <w:spacing w:after="0"/>
              <w:rPr>
                <w:sz w:val="16"/>
                <w:szCs w:val="16"/>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23"/>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8"/>
        </w:trPr>
        <w:tc>
          <w:tcPr>
            <w:tcW w:w="7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4,447,074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6,096,016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20"/>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(808,410)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0"/>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(2,627,262)</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7,107,418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years ended December 31, 2025, 2024 and 2023, the Company recognized stock-based compensation expense related to RSUs of $6.6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$0.5 million that was capitalized into inventory, $7.0 million, including $0.5 million that was capitalized into inventory, and $6.6 million including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$0.4 million that was capitalized into inventory, respectively. The total fair value of shares vested during the years ended December 31, 2025 and 2024 was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$5.8 million and $3.8 million, respectively. As of December 31, 2025, there was approximately $13.4 million of unrecognized stock-based compensation expense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unvested RSUs, which will be recognized over a weighted-average period of approximately 2.7 years.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Restricted Stock Units ("PBRSUs")</w:t>
      </w:r>
    </w:p>
    <w:p>
      <w:pPr>
        <w:spacing w:after="0" w:line="2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performance criteria was met during the three months ended March 31, 2024.</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Stock-based compensation related to the PBRSUs was approximately $0.2 million, including less than $0.1 million that was capitalized into inventory, for the year ended December 31, 2024. Stock-based compensation related to PBRSUs was approximately $0.4 million, including less than $0.1 million that was capitalized into inventory, for the year ended December 31, 2023. The total fair value of shares vested during the year ended December 31, 2024 was $0.4 million. As of December 31, 2025, there were no outstanding and unvested PBRSUs.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stock options ("PBSOs")</w:t>
      </w:r>
    </w:p>
    <w:p>
      <w:pPr>
        <w:spacing w:after="0" w:line="22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fair value of the PBSOs is based on the Black Scholes model as detailed in the stock option section above. The performance criteria was met during the three months ended March 31, 2024. The weighted-average grant-date fair value of PBSOs granted during the year ended December 31, 2023 was $1.14.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performance-based stock options for the year ended December 31,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6"/>
                <w:szCs w:val="16"/>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94"/>
        </w:trPr>
        <w:tc>
          <w:tcPr>
            <w:tcW w:w="4500" w:type="dxa"/>
            <w:vAlign w:val="bottom"/>
          </w:tcPr>
          <w:p>
            <w:pPr>
              <w:spacing w:after="0"/>
              <w:rPr>
                <w:sz w:val="16"/>
                <w:szCs w:val="16"/>
                <w:color w:val="auto"/>
              </w:rPr>
            </w:pPr>
          </w:p>
        </w:tc>
        <w:tc>
          <w:tcPr>
            <w:tcW w:w="15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PBSOs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Term (Years)</w:t>
            </w:r>
          </w:p>
        </w:tc>
        <w:tc>
          <w:tcPr>
            <w:tcW w:w="220" w:type="dxa"/>
            <w:vAlign w:val="bottom"/>
          </w:tcPr>
          <w:p>
            <w:pPr>
              <w:spacing w:after="0"/>
              <w:rPr>
                <w:sz w:val="16"/>
                <w:szCs w:val="16"/>
                <w:color w:val="auto"/>
              </w:rPr>
            </w:pPr>
          </w:p>
        </w:tc>
        <w:tc>
          <w:tcPr>
            <w:tcW w:w="13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r>
      <w:tr>
        <w:trPr>
          <w:trHeight w:val="23"/>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632,950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20"/>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Forfeited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443,500</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1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443,500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443,500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0"/>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8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total pre-tax intrinsic value of performance-based stock options exercised during the years ended December 31, 2025 and 2024 was less than $0.1 million. No performance-based stock options were exercised during the year ended December 31, 2023. There was no stock-based compensation related to the PBSOs for the year ended December 31, 2025. Stock-based compensation related to the PBSOs was approximately $0.5 million and $0.9 million for the years ended December 31, 2024 and 2023, respectively. The total fair value of shares vested during the year ended December 31, 2024 was $2.0 million. As of December 31, 2025, there was no unrecognized stock-based compensation expense related to unvested PBSOs.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 (Continued)</w:t>
      </w:r>
    </w:p>
    <w:p>
      <w:pPr>
        <w:spacing w:after="0" w:line="200" w:lineRule="exact"/>
        <w:rPr>
          <w:sz w:val="20"/>
          <w:szCs w:val="20"/>
          <w:color w:val="auto"/>
        </w:rPr>
      </w:pPr>
    </w:p>
    <w:p>
      <w:pPr>
        <w:spacing w:after="0" w:line="311"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total stock-based compensation expense in each of the income statement line items for the years ended December 31, 2025,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94"/>
        </w:trPr>
        <w:tc>
          <w:tcPr>
            <w:tcW w:w="4000" w:type="dxa"/>
            <w:vAlign w:val="bottom"/>
          </w:tcPr>
          <w:p>
            <w:pPr>
              <w:spacing w:after="0"/>
              <w:rPr>
                <w:sz w:val="16"/>
                <w:szCs w:val="16"/>
                <w:color w:val="auto"/>
              </w:rPr>
            </w:pPr>
          </w:p>
        </w:tc>
        <w:tc>
          <w:tcPr>
            <w:tcW w:w="14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jc w:val="right"/>
              <w:ind w:right="8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1"/>
        </w:trPr>
        <w:tc>
          <w:tcPr>
            <w:tcW w:w="4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60" w:type="dxa"/>
            <w:vAlign w:val="bottom"/>
            <w:shd w:val="clear" w:color="auto" w:fill="CCEEFF"/>
          </w:tcPr>
          <w:p>
            <w:pPr>
              <w:jc w:val="right"/>
              <w:ind w:right="128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3,430</w:t>
            </w:r>
          </w:p>
        </w:tc>
      </w:tr>
      <w:tr>
        <w:trPr>
          <w:trHeight w:val="22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9,761</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8,528</w:t>
            </w:r>
          </w:p>
        </w:tc>
      </w:tr>
      <w:tr>
        <w:trPr>
          <w:trHeight w:val="23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 compensation expense</w:t>
            </w:r>
          </w:p>
        </w:tc>
        <w:tc>
          <w:tcPr>
            <w:tcW w:w="1460" w:type="dxa"/>
            <w:vAlign w:val="bottom"/>
            <w:tcBorders>
              <w:bottom w:val="single" w:sz="8" w:color="auto"/>
            </w:tcBorders>
            <w:shd w:val="clear" w:color="auto" w:fill="CCEEFF"/>
          </w:tcPr>
          <w:p>
            <w:pPr>
              <w:jc w:val="right"/>
              <w:ind w:right="128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11,993</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Employee Benefit Plan</w:t>
      </w:r>
    </w:p>
    <w:p>
      <w:pPr>
        <w:spacing w:after="0" w:line="22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During 2008, the Company adopted the Esperion Therapeutics, Inc. 401(k) Plan (the “401(k) Plan”), which qualifies as a deferred salary arrangement under Section 401(k) of the Internal Revenue Code. Under the 401(k) Plan, participating employees may defer a portion of their pretax earnings. The Company may, at its sole discretion, contribute for the benefit of eligible employees. Company contributions to the 401(k) Plan during the years ended December 31, 2025, 2024 and 2023 were $1.7 million, $1.8 million and $1.3 million,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Leases</w:t>
      </w:r>
    </w:p>
    <w:p>
      <w:pPr>
        <w:spacing w:after="0" w:line="22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Company has operating leases primarily related to the Company's principal executive office, automobile leases and other IT related equipment. The lease for the principal executive office has a lease term of 5 years from November 1, 2023, and the automobile leases and IT equipment leases primarily have a term of 3 years. During the years ended December 31, 2025, December 31, 2024 and December 31, 2023 the Company recognized $2.6 million, $3.0 million and $1.0 million, respectively, of operating lease costs, recognized on the statements of operations and comprehensive loss, and paid cash for the amounts included in the measurement of lease liabilities of $2.3 million, $2.6 million and $1.0 million, respectively, which were included in operating cash flows on the statements of cash flows. At December 31, 2025 and December 31, 2024, the weighted-average remaining lease term of operating leases was 1.6 years and 2.1 years, respectively, and the weighted average discount rate was 7.6% and 7.4%, respectively. There was $0.6 million and $3.3 million in right-of-use assets obtained in exchange for lease obligations for the years ended December 31, 2025 and December 31, 2024, respectively. The Company had one additional operating lease and no finance leases that had not yet commenced as of December 31, 2025. The lease not yet commenced includes payments over the term of $0.2 million, which is excluded from the table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future maturities of operating lease liabilities as of December 31,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65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6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6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3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520" w:type="dxa"/>
            <w:vAlign w:val="bottom"/>
            <w:gridSpan w:val="2"/>
          </w:tcPr>
          <w:p>
            <w:pPr>
              <w:jc w:val="right"/>
              <w:ind w:right="4134"/>
              <w:spacing w:after="0"/>
              <w:rPr>
                <w:sz w:val="20"/>
                <w:szCs w:val="20"/>
                <w:color w:val="auto"/>
              </w:rPr>
            </w:pPr>
            <w:r>
              <w:rPr>
                <w:rFonts w:ascii="Times New Roman" w:cs="Times New Roman" w:eastAsia="Times New Roman" w:hAnsi="Times New Roman"/>
                <w:sz w:val="17"/>
                <w:szCs w:val="17"/>
                <w:color w:val="auto"/>
              </w:rPr>
              <w:t>F-34</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6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Leases (Continued)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supplemental balance sheet information related to leases as of December 31, 2025 and 2024:</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8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1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right of use operating lease assets</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5,513</w:t>
            </w:r>
          </w:p>
        </w:tc>
        <w:tc>
          <w:tcPr>
            <w:tcW w:w="0" w:type="dxa"/>
            <w:vAlign w:val="bottom"/>
          </w:tcPr>
          <w:p>
            <w:pPr>
              <w:spacing w:after="0"/>
              <w:rPr>
                <w:sz w:val="1"/>
                <w:szCs w:val="1"/>
                <w:color w:val="auto"/>
              </w:rPr>
            </w:pPr>
          </w:p>
        </w:tc>
      </w:tr>
      <w:tr>
        <w:trPr>
          <w:trHeight w:val="258"/>
        </w:trPr>
        <w:tc>
          <w:tcPr>
            <w:tcW w:w="8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(short-term)</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2,741</w:t>
            </w:r>
          </w:p>
        </w:tc>
        <w:tc>
          <w:tcPr>
            <w:tcW w:w="0" w:type="dxa"/>
            <w:vAlign w:val="bottom"/>
          </w:tcPr>
          <w:p>
            <w:pPr>
              <w:spacing w:after="0"/>
              <w:rPr>
                <w:sz w:val="1"/>
                <w:szCs w:val="1"/>
                <w:color w:val="auto"/>
              </w:rPr>
            </w:pPr>
          </w:p>
        </w:tc>
      </w:tr>
      <w:tr>
        <w:trPr>
          <w:trHeight w:val="22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lease liabilities (long-term)</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lease obligations under operating leases</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Income Taxes</w:t>
      </w:r>
    </w:p>
    <w:p>
      <w:pPr>
        <w:spacing w:after="0" w:line="20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The Company has recorded a provision for income taxes of $1.8 million for the year ended December 31, 2025. There was no provision for income taxes for the year ended December 31, 2024, as the Company had incurred federal net operating losses since inception, which were available to offset taxable income in the year. At December 31, 2025, the Company concluded that it is not more likely than not that the Company will realize the benefit of its deferred tax assets due to its history of losses. Accordingly, a full valuation allowance has been applied against the net deferred tax assets.</w:t>
      </w:r>
    </w:p>
    <w:p>
      <w:pPr>
        <w:spacing w:after="0" w:line="2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As of December 31, 2025 and 2024, the Company had net deferred tax assets, before valuation allowance, of approximately $417.1 million and $413.1 million, respectively. Realization of the deferred tax assets is dependent upon future taxable income, if any, the amount and timing of which are uncertain. Accordingly, the net deferred tax assets have been fully offset by a valuation allowance. As of December 31, 2025 and 2024, the Company had federal net operating loss (“NOL”) carryforwards of approximately $807.4 million and $773.6 million, respectively. Of the total federal NOL carryforwards, $101.3 million will expire at various dates beginning in 2037, if not utilized; the remaining federal NOLs do not expire. As of December 31, 2025 and 2024, the Company had state NOL carryforwards of approximately $667.2 million and $644.6 million, respectively. In 2022, state NOL carryforwards began to expire as they were not able to be fully utilized and will continue to expire in in future periods, if not utilized.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research and developmental tax credits of $21.0 million. The tax credit carryforwards will expire beginning in 2031, if not utilized.</w:t>
      </w:r>
    </w:p>
    <w:p>
      <w:pPr>
        <w:spacing w:after="0" w:line="283"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and various states. With few exceptions, the Company is no longer subject to U.S. federal or state and local income tax examinations by tax authorities for years before 2019.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Income Taxes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components of the provision for income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4"/>
        </w:trPr>
        <w:tc>
          <w:tcPr>
            <w:tcW w:w="6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6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6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income taxes</w:t>
            </w: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6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income taxes</w:t>
            </w:r>
          </w:p>
        </w:tc>
        <w:tc>
          <w:tcPr>
            <w:tcW w:w="9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The following table sets forth the reconciliation between the U.S. federal statutory income tax rate and the effective tax rate for the year ended December 31, 2025, in accordance with adoption of ASU 2023-09: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2025</w:t>
            </w:r>
          </w:p>
        </w:tc>
        <w:tc>
          <w:tcPr>
            <w:tcW w:w="600" w:type="dxa"/>
            <w:vAlign w:val="bottom"/>
          </w:tcPr>
          <w:p>
            <w:pPr>
              <w:spacing w:after="0"/>
              <w:rPr>
                <w:sz w:val="15"/>
                <w:szCs w:val="15"/>
                <w:color w:val="auto"/>
              </w:rPr>
            </w:pPr>
          </w:p>
        </w:tc>
      </w:tr>
      <w:tr>
        <w:trPr>
          <w:trHeight w:val="23"/>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1"/>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5"/>
                <w:szCs w:val="15"/>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 (benefit) at statutory rate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0"/>
        </w:trPr>
        <w:tc>
          <w:tcPr>
            <w:tcW w:w="66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State and local income taxes, net of federal income tax effect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2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federal valuation allowances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16.4 %</w:t>
            </w:r>
          </w:p>
        </w:tc>
      </w:tr>
      <w:tr>
        <w:trPr>
          <w:trHeight w:val="220"/>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Compensation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20"/>
        </w:trPr>
        <w:tc>
          <w:tcPr>
            <w:tcW w:w="6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Meals and entertainment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20"/>
        </w:trPr>
        <w:tc>
          <w:tcPr>
            <w:tcW w:w="66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Changes in unrecognized tax benefits </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w:t>
            </w:r>
          </w:p>
        </w:tc>
      </w:tr>
      <w:tr>
        <w:trPr>
          <w:trHeight w:val="213"/>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8.8 %</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20" w:right="80" w:hanging="307"/>
        <w:spacing w:after="0" w:line="256" w:lineRule="auto"/>
        <w:tabs>
          <w:tab w:leader="none" w:pos="6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local income taxes in California, Pennsylvania, Florida, Georgia, and Texas made up the majority (greater than 50 percent) of the tax effect in this category.</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unrecognized tax benefits are made up of uncertain tax positions taken on 2024 income tax returns filed in 2025.</w:t>
      </w:r>
    </w:p>
    <w:p>
      <w:pPr>
        <w:spacing w:after="0" w:line="213"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following table sets forth the reconciliation between the U.S. federal statutory income tax rate and the effective tax rate for the years ended December 31, 2024 and 2023, prior to the adoption of ASU 2023-09.</w:t>
      </w:r>
    </w:p>
    <w:p>
      <w:pPr>
        <w:spacing w:after="0" w:line="53" w:lineRule="exact"/>
        <w:rPr>
          <w:sz w:val="20"/>
          <w:szCs w:val="20"/>
          <w:color w:val="auto"/>
        </w:rPr>
      </w:pPr>
    </w:p>
    <w:tbl>
      <w:tblPr>
        <w:tblLayout w:type="fixed"/>
        <w:tblInd w:w="700" w:type="dxa"/>
        <w:tblCellMar>
          <w:top w:w="0" w:type="dxa"/>
          <w:left w:w="0" w:type="dxa"/>
          <w:bottom w:w="0" w:type="dxa"/>
          <w:right w:w="0" w:type="dxa"/>
        </w:tblCellMar>
      </w:tblPr>
      <w:tr>
        <w:trPr>
          <w:trHeight w:val="183"/>
        </w:trPr>
        <w:tc>
          <w:tcPr>
            <w:tcW w:w="6600" w:type="dxa"/>
            <w:vAlign w:val="bottom"/>
          </w:tcPr>
          <w:p>
            <w:pPr>
              <w:spacing w:after="0"/>
              <w:rPr>
                <w:sz w:val="15"/>
                <w:szCs w:val="15"/>
                <w:color w:val="auto"/>
              </w:rPr>
            </w:pPr>
          </w:p>
        </w:tc>
        <w:tc>
          <w:tcPr>
            <w:tcW w:w="25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5"/>
                <w:szCs w:val="15"/>
                <w:color w:val="auto"/>
              </w:rPr>
            </w:pPr>
          </w:p>
        </w:tc>
      </w:tr>
      <w:tr>
        <w:trPr>
          <w:trHeight w:val="194"/>
        </w:trPr>
        <w:tc>
          <w:tcPr>
            <w:tcW w:w="7520" w:type="dxa"/>
            <w:vAlign w:val="bottom"/>
            <w:gridSpan w:val="2"/>
          </w:tcPr>
          <w:p>
            <w:pPr>
              <w:ind w:left="7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r>
      <w:tr>
        <w:trPr>
          <w:trHeight w:val="23"/>
        </w:trPr>
        <w:tc>
          <w:tcPr>
            <w:tcW w:w="6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 (benefit) at statutory rate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state tax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2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Permanent items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2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Prior period adjustments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r>
      <w:tr>
        <w:trPr>
          <w:trHeight w:val="22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19.7 %</w:t>
            </w: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6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Income Taxes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components of income taxes paid (net of refunds received) by jurisdiction for the year ended December 31, 2025:</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U.S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-121285</wp:posOffset>
            </wp:positionV>
            <wp:extent cx="5349240" cy="139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5349240" cy="139700"/>
                    </a:xfrm>
                    <a:prstGeom prst="rect">
                      <a:avLst/>
                    </a:prstGeom>
                    <a:noFill/>
                  </pic:spPr>
                </pic:pic>
              </a:graphicData>
            </a:graphic>
          </wp:anchor>
        </w:drawing>
      </w:r>
    </w:p>
    <w:p>
      <w:pPr>
        <w:spacing w:after="0" w:line="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U.S. state and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15240</wp:posOffset>
            </wp:positionV>
            <wp:extent cx="5349240" cy="139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5349240" cy="139700"/>
                    </a:xfrm>
                    <a:prstGeom prst="rect">
                      <a:avLst/>
                    </a:prstGeom>
                    <a:noFill/>
                  </pic:spPr>
                </pic:pic>
              </a:graphicData>
            </a:graphic>
          </wp:anchor>
        </w:drawing>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Pennsylvania</w:t>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15240</wp:posOffset>
            </wp:positionV>
            <wp:extent cx="5349240" cy="139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5349240" cy="139700"/>
                    </a:xfrm>
                    <a:prstGeom prst="rect">
                      <a:avLst/>
                    </a:prstGeom>
                    <a:noFill/>
                  </pic:spPr>
                </pic:pic>
              </a:graphicData>
            </a:graphic>
          </wp:anchor>
        </w:drawing>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Georgia</w:t>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15240</wp:posOffset>
            </wp:positionV>
            <wp:extent cx="5349240" cy="139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5349240" cy="139700"/>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7"/>
          <w:szCs w:val="17"/>
          <w:color w:val="auto"/>
        </w:rPr>
        <w:t xml:space="preserve">State and local - Other </w:t>
      </w:r>
      <w:r>
        <w:rPr>
          <w:rFonts w:ascii="Times New Roman" w:cs="Times New Roman" w:eastAsia="Times New Roman" w:hAnsi="Times New Roman"/>
          <w:sz w:val="22"/>
          <w:szCs w:val="22"/>
          <w:color w:val="auto"/>
          <w:vertAlign w:val="superscript"/>
        </w:rPr>
        <w:t>(1)</w:t>
      </w:r>
    </w:p>
    <w:p>
      <w:pPr>
        <w:ind w:left="1420"/>
        <w:spacing w:after="0"/>
        <w:rPr>
          <w:sz w:val="20"/>
          <w:szCs w:val="20"/>
          <w:color w:val="auto"/>
        </w:rPr>
      </w:pPr>
      <w:r>
        <w:rPr>
          <w:rFonts w:ascii="Times New Roman" w:cs="Times New Roman" w:eastAsia="Times New Roman" w:hAnsi="Times New Roman"/>
          <w:sz w:val="17"/>
          <w:szCs w:val="17"/>
          <w:color w:val="auto"/>
        </w:rPr>
        <w:t>Total U.S. state and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6350</wp:posOffset>
            </wp:positionV>
            <wp:extent cx="5349240" cy="163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5349240" cy="163830"/>
                    </a:xfrm>
                    <a:prstGeom prst="rect">
                      <a:avLst/>
                    </a:prstGeom>
                    <a:noFill/>
                  </pic:spPr>
                </pic:pic>
              </a:graphicData>
            </a:graphic>
          </wp:anchor>
        </w:drawing>
      </w:r>
    </w:p>
    <w:p>
      <w:pPr>
        <w:spacing w:after="0" w:line="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Income taxes paid (net of refunds received)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1"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8255</wp:posOffset>
            </wp:positionV>
            <wp:extent cx="11239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1" w:lineRule="exact"/>
        <w:rPr>
          <w:sz w:val="20"/>
          <w:szCs w:val="20"/>
          <w:color w:val="auto"/>
        </w:rPr>
      </w:pPr>
    </w:p>
    <w:p>
      <w:pPr>
        <w:ind w:left="1420" w:hanging="1400"/>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55"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7"/>
          <w:szCs w:val="17"/>
          <w:color w:val="auto"/>
        </w:rPr>
        <w:t>295</w:t>
      </w:r>
    </w:p>
    <w:p>
      <w:pPr>
        <w:spacing w:after="0" w:line="28"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7"/>
          <w:szCs w:val="17"/>
          <w:color w:val="auto"/>
        </w:rPr>
        <w:t>70</w:t>
      </w:r>
    </w:p>
    <w:p>
      <w:pPr>
        <w:spacing w:after="0" w:line="24"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7"/>
          <w:szCs w:val="17"/>
          <w:color w:val="auto"/>
        </w:rPr>
        <w:t>40</w:t>
      </w:r>
    </w:p>
    <w:p>
      <w:pPr>
        <w:spacing w:after="0" w:line="24"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7"/>
          <w:szCs w:val="17"/>
          <w:color w:val="auto"/>
        </w:rPr>
        <w:t>39</w:t>
      </w:r>
    </w:p>
    <w:p>
      <w:pPr>
        <w:spacing w:after="0" w:line="24"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10502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13"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7"/>
          <w:szCs w:val="17"/>
          <w:color w:val="auto"/>
        </w:rPr>
        <w:t>612</w:t>
      </w:r>
    </w:p>
    <w:p>
      <w:pPr>
        <w:spacing w:after="0" w:line="37" w:lineRule="exact"/>
        <w:rPr>
          <w:sz w:val="20"/>
          <w:szCs w:val="20"/>
          <w:color w:val="auto"/>
        </w:rPr>
      </w:pPr>
    </w:p>
    <w:p>
      <w:pPr>
        <w:ind w:left="1320" w:hanging="1300"/>
        <w:spacing w:after="0"/>
        <w:tabs>
          <w:tab w:leader="none" w:pos="13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1050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7460" w:space="720"/>
            <w:col w:w="3060"/>
          </w:cols>
          <w:pgMar w:left="320" w:top="123" w:right="339" w:bottom="1440" w:gutter="0" w:footer="0" w:header="0"/>
          <w:type w:val="continuous"/>
        </w:sectPr>
      </w:pPr>
    </w:p>
    <w:p>
      <w:pPr>
        <w:spacing w:after="0" w:line="160" w:lineRule="exact"/>
        <w:rPr>
          <w:sz w:val="20"/>
          <w:szCs w:val="20"/>
          <w:color w:val="auto"/>
        </w:rPr>
      </w:pPr>
    </w:p>
    <w:p>
      <w:pPr>
        <w:ind w:left="620" w:right="20" w:hanging="307"/>
        <w:spacing w:after="0" w:line="272" w:lineRule="auto"/>
        <w:tabs>
          <w:tab w:leader="none" w:pos="61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other income taxes paid (net of refunds received) to respective individual state and local jurisdiction(s) during the year do not meet the 5% disaggregation threshold.</w:t>
      </w:r>
    </w:p>
    <w:p>
      <w:pPr>
        <w:spacing w:after="0" w:line="16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or the Code, if a corporation undergoes an “ownership change,” the corporation’s ability to use its pre-change net operating loss carryforwards and other pre-change tax attributes, such as research tax credits, to offset its post-change income may be limited. If the Company experiences a greater than 50 percentage point aggregate change in ownership of certain significant stockholders over a three-year period, a Section 382 ownership change could be deemed to have occurred. If a Section 382 change occurs, the Company’s future utilization of the net operating loss carryforwards and credits as of the ownership change will be subject to an annual limitation under Section 382 of the Internal Revenue Code of 1986, as amended, and similar state provisions. Some of the U.S. Federal and State net operating loss and credit carryforwards are subject to annual limitations due to ownership changes. The annual limitation may result in the expiration of net operating losses or credit carryforwards before utilization. The Company experienced an ownership change under Section 382 in 2013, 2017, 2021, 2023, and 2024. The Company may also experience ownership changes in the future as a result of future transactions in their stock. For the year ended December 31, 2025, the Company is not expecting to be impacted by IRC Section 382 limitations, as the Company experienced a federal net operating loss, and state net operating loss utilization is not expected to impacted by Section 382 limitations.</w:t>
      </w:r>
    </w:p>
    <w:p>
      <w:pPr>
        <w:spacing w:after="0" w:line="208"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7"/>
          <w:szCs w:val="17"/>
          <w:color w:val="auto"/>
        </w:rPr>
        <w:t>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The Company recognized no material adjustment for unrecognized income tax benefits. Through December 31, 2025, the Company had accrued $3.4 million for unrecognized income tax benefits and related interest and penalties against credits.</w:t>
      </w:r>
    </w:p>
    <w:p>
      <w:pPr>
        <w:spacing w:after="0" w:line="20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is as follows. The Company does not expect this amount to change in the next twelve months. At December 31, 2025, the amount of unrecognized tax benefits that would affect the effective rate if recognized in the financial statements was $1.3 million. This amount includes $0.1 million of interest and penalties associated with unrecognized tax benefits, which are included within the provision for income taxes pursuant to the Company’s accounting policy election.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4"/>
        </w:trPr>
        <w:tc>
          <w:tcPr>
            <w:tcW w:w="4080" w:type="dxa"/>
            <w:vAlign w:val="bottom"/>
          </w:tcPr>
          <w:p>
            <w:pPr>
              <w:spacing w:after="0"/>
              <w:rPr>
                <w:sz w:val="16"/>
                <w:szCs w:val="16"/>
                <w:color w:val="auto"/>
              </w:rPr>
            </w:pP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r>
      <w:tr>
        <w:trPr>
          <w:trHeight w:val="23"/>
        </w:trPr>
        <w:tc>
          <w:tcPr>
            <w:tcW w:w="40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40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w:t>
            </w:r>
          </w:p>
        </w:tc>
        <w:tc>
          <w:tcPr>
            <w:tcW w:w="466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440" w:type="dxa"/>
            <w:vAlign w:val="bottom"/>
          </w:tcPr>
          <w:p>
            <w:pPr>
              <w:spacing w:after="0"/>
              <w:rPr>
                <w:sz w:val="19"/>
                <w:szCs w:val="19"/>
                <w:color w:val="auto"/>
              </w:rPr>
            </w:pPr>
          </w:p>
        </w:tc>
      </w:tr>
      <w:tr>
        <w:trPr>
          <w:trHeight w:val="220"/>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Additions for prior year tax positions</w:t>
            </w:r>
          </w:p>
        </w:tc>
        <w:tc>
          <w:tcPr>
            <w:tcW w:w="37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r>
      <w:tr>
        <w:trPr>
          <w:trHeight w:val="23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w:t>
            </w:r>
          </w:p>
        </w:tc>
        <w:tc>
          <w:tcPr>
            <w:tcW w:w="37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440" w:type="dxa"/>
            <w:vAlign w:val="bottom"/>
          </w:tcPr>
          <w:p>
            <w:pPr>
              <w:spacing w:after="0"/>
              <w:rPr>
                <w:sz w:val="20"/>
                <w:szCs w:val="20"/>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38"/>
        </w:trPr>
        <w:tc>
          <w:tcPr>
            <w:tcW w:w="4080" w:type="dxa"/>
            <w:vAlign w:val="bottom"/>
          </w:tcPr>
          <w:p>
            <w:pPr>
              <w:spacing w:after="0"/>
              <w:rPr>
                <w:sz w:val="24"/>
                <w:szCs w:val="24"/>
                <w:color w:val="auto"/>
              </w:rPr>
            </w:pPr>
          </w:p>
        </w:tc>
        <w:tc>
          <w:tcPr>
            <w:tcW w:w="4660" w:type="dxa"/>
            <w:vAlign w:val="bottom"/>
            <w:gridSpan w:val="2"/>
          </w:tcPr>
          <w:p>
            <w:pPr>
              <w:jc w:val="right"/>
              <w:ind w:right="2874"/>
              <w:spacing w:after="0"/>
              <w:rPr>
                <w:sz w:val="20"/>
                <w:szCs w:val="20"/>
                <w:color w:val="auto"/>
              </w:rPr>
            </w:pPr>
            <w:r>
              <w:rPr>
                <w:rFonts w:ascii="Times New Roman" w:cs="Times New Roman" w:eastAsia="Times New Roman" w:hAnsi="Times New Roman"/>
                <w:sz w:val="17"/>
                <w:szCs w:val="17"/>
                <w:color w:val="auto"/>
              </w:rPr>
              <w:t>F-37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09"/>
        </w:trPr>
        <w:tc>
          <w:tcPr>
            <w:tcW w:w="40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Income Taxes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components of the Company’s deferred tax assets are summarized in the table below:</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194"/>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 and state operating loss carryforwards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211,531</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203,889</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Royalty Purchase Agreement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71,860</w:t>
            </w: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Disallowed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41,429</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37,848</w:t>
            </w: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26,062</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variable consideration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12,483</w:t>
            </w: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R&amp;D tax credits, net of reserves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18,887</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temporary differences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417,851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414,606</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temporary differences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(1,521)</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(417,064)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(413,085)</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Segment Reporting</w:t>
      </w:r>
    </w:p>
    <w:p>
      <w:pPr>
        <w:spacing w:after="0" w:line="2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The majority of the Company's business consists of researching, developing and commercializing therapies for the treatment of patients with elevated LDL-C. The segment derives net product sales through sale of its NEXLETOL and NEXLIZET tablets to customers in the United States and through collaboration agreements with other third party companies to develop, manufacture and commercialize its products outside the United States. Net product sales were $159.6 million, $115.7 million and $78.3 million for the three years ended December 31, 2025, 2024, and 2023, respectively. Collaboration revenue, which includes milestone payments, royalty revenues and sales of the Company's tablets to its collaboration partners, were $243.6 million, $216.6 million and $38.0 million for the three years ended December 31, 2025, 2024, and 2023, respectively. During the year ended December 31, 2025, collaboration revenue was primarily derived in Europe and Japan from the Company's partners DSE and Otsuka. The Company manages the business activities on a consolidated basis. The accounting policies of the segment are the same as those described in Note 2.</w:t>
      </w:r>
    </w:p>
    <w:p>
      <w:pPr>
        <w:spacing w:after="0" w:line="20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Company's chief operating decision maker is the Chief Executive Officer ("CODM"). The CODM assesses the performance of the Company and decides how to allocate resources based on revenues and net income (loss), which is reported on the statements of operations. The chief operating decision maker also assesses performance by reviewing net cash provided by (used in) operating expenses, which is reported on the statements of cash flows. The measure of segment assets is reported on the balance sheets as total assets. The chief operating decision maker also reviews cash and cash equivalents. A significant component of the CODM's decision-making process is to ensure a balanced investment in research and development, as well as commercial activities to drive near-term success and sustain for the long term.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Net Loss Per Common Share</w:t>
      </w:r>
    </w:p>
    <w:p>
      <w:pPr>
        <w:spacing w:after="0" w:line="2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Basic net loss per share is calculated by dividing net loss by the weighted-average number of common shares outstanding during the period, without consideration for common stock equivalents. Pre-Funded Warrants are included in the weighted-average number of common shares outstanding during the periods. Diluted net loss per share is computed by dividing net loss by the weighted-average number of common stock equivalents outstanding for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Net Loss Per Common Share (Continued)</w:t>
      </w:r>
    </w:p>
    <w:p>
      <w:pPr>
        <w:spacing w:after="0" w:line="200" w:lineRule="exact"/>
        <w:rPr>
          <w:sz w:val="20"/>
          <w:szCs w:val="20"/>
          <w:color w:val="auto"/>
        </w:rPr>
      </w:pPr>
    </w:p>
    <w:p>
      <w:pPr>
        <w:spacing w:after="0" w:line="311"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The shares outstanding at the end of the respective periods presented below were excluded from the calculation of diluted net loss per share due to their anti-dilutive effect: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66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shares under option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6,777,891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5,177,511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3,686,191</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RSUs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7,107,418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4,447,074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3,047,888</w:t>
            </w: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related to the ESPP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238,065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116,804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PBRSUs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160,275</w:t>
            </w: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shares under PBSOs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443,500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632,950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661,850</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issuable upon conversion of convertible notes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32,679,739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34,338,912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8,007,010</w:t>
            </w: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for common stock</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18,892,700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26,071,429</w:t>
            </w:r>
          </w:p>
        </w:tc>
        <w:tc>
          <w:tcPr>
            <w:tcW w:w="16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36,344,212</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potential dilutive shares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66,139,313</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70,784,680</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51,907,426</w:t>
            </w:r>
          </w:p>
        </w:tc>
      </w:tr>
      <w:tr>
        <w:trPr>
          <w:trHeight w:val="20"/>
        </w:trPr>
        <w:tc>
          <w:tcPr>
            <w:tcW w:w="6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Subsequent Event</w:t>
      </w:r>
    </w:p>
    <w:p>
      <w:pPr>
        <w:spacing w:after="0" w:line="22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On March 2, 2026, the Company entered into the Merger Agreement with Corstasis and Merger Sub. Pursuant to the Merger Agreement, and upon the terms and subject to the conditions thereof, Merger Sub will merge with and into Corstasis, with Corstasis surviving the Merger as a wholly-owned subsidiary of the Company. The aggregate up-front consideration for the transactions contemplated by the Merger Agreement (the “Corstasis Transactions”) will be an amount in cash equal to $75.0 million, subject to customary adjustments and a post-closing purchase price adjustment. In addition to the Upfront Consideration, the equityholders of Corstasis will be entitled to receive: (i) milestone payments up to an aggregate amount equal to $180.0 million in the event certain regulatory approval or commercial sales milestones are achieved and (ii) royalty and licensing-revenue-derived payments in connection with the Company’s (or its sublicensees’) future sales of certain products (collectively, the “Contingent Consideration”).</w:t>
      </w:r>
    </w:p>
    <w:p>
      <w:pPr>
        <w:spacing w:after="0" w:line="17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At the effective time of the Merger, all issued and outstanding shares of Corstasis’s common stock, par value $0.0001 per share and all issued and outstanding stock options (“Options”) and restricted stock units of Corstasis will be cancelled and will thereafter represent solely the right of the holders thereof to receive an amount in cash, without interest and net of applicable withholding (and, in the case of an Option, the applicable exercise price of such Option), equal to the applicable holder’s pro rata share of the Upfront Consideration, the Contingent Consideration (if any) and any funds that may be released from certain escrow or expense accounts, in each case, subject to the terms and conditions of the Merger Agreement.</w:t>
      </w:r>
    </w:p>
    <w:p>
      <w:pPr>
        <w:spacing w:after="0" w:line="1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and covenants for a transaction of this nature, including, among others, an obligation upon Corstasis to conduct its business in the ordinary course during the period between the signing of the Merger Agreement and the closing of the Corstasis Transactions. The Merger Agreement may be terminated by each of Corstasis and the Company under certain customary circumstances, including if the Corstasis Transactions are not consummated by May 1, 2026. The consummation of the Corstasis Transactions is subject to the satisfaction or waiver of certain customary closing conditions. The Corstasis Transactions are expected to close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F-39</w:t>
      </w:r>
    </w:p>
    <w:p>
      <w:pPr>
        <w:sectPr>
          <w:pgSz w:w="11900" w:h="16838" w:orient="portrait"/>
          <w:cols w:equalWidth="0" w:num="1">
            <w:col w:w="11160"/>
          </w:cols>
          <w:pgMar w:left="320" w:top="123" w:right="419" w:bottom="1440" w:gutter="0" w:footer="0" w:header="0"/>
        </w:sectPr>
      </w:pPr>
    </w:p>
    <w:bookmarkStart w:id="152" w:name="page153"/>
    <w:bookmarkEnd w:id="152"/>
    <w:p>
      <w:pPr>
        <w:jc w:val="center"/>
        <w:spacing w:after="0" w:line="293" w:lineRule="auto"/>
        <w:rPr>
          <w:sz w:val="20"/>
          <w:szCs w:val="20"/>
          <w:color w:val="auto"/>
        </w:rPr>
      </w:pPr>
      <w:r>
        <w:rPr>
          <w:rFonts w:ascii="Times New Roman" w:cs="Times New Roman" w:eastAsia="Times New Roman" w:hAnsi="Times New Roman"/>
          <w:sz w:val="17"/>
          <w:szCs w:val="17"/>
          <w:b w:val="1"/>
          <w:bCs w:val="1"/>
          <w:color w:val="FF0000"/>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AMENDMENT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LICENSE AND COLLABORATION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by and between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ESPERION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OTSUKA PHARMACEUTICAL CO., LTD.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November 5, 2025</w:t>
      </w:r>
    </w:p>
    <w:p>
      <w:pPr>
        <w:spacing w:after="0" w:line="221"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9"/>
          <w:szCs w:val="19"/>
          <w:color w:val="auto"/>
        </w:rPr>
        <w:t>THIS FIRST AMENDMENT to the LICENSE AND COLLABORATION AGREEMENT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entered into as of November 5, 2025 (the “</w:t>
      </w:r>
      <w:r>
        <w:rPr>
          <w:rFonts w:ascii="Times New Roman" w:cs="Times New Roman" w:eastAsia="Times New Roman" w:hAnsi="Times New Roman"/>
          <w:sz w:val="19"/>
          <w:szCs w:val="19"/>
          <w:b w:val="1"/>
          <w:bCs w:val="1"/>
          <w:color w:val="auto"/>
        </w:rPr>
        <w:t>Amendment Effective Date</w:t>
      </w:r>
      <w:r>
        <w:rPr>
          <w:rFonts w:ascii="Times New Roman" w:cs="Times New Roman" w:eastAsia="Times New Roman" w:hAnsi="Times New Roman"/>
          <w:sz w:val="19"/>
          <w:szCs w:val="19"/>
          <w:color w:val="auto"/>
        </w:rPr>
        <w:t>”), is entered into by and between Esperion Therapeutics, Inc., a Delaware corporation with offices at 3891 Ranchero Drive, Suite 150, Ann Arbor, Michigan, USA 48108 (“</w:t>
      </w:r>
      <w:r>
        <w:rPr>
          <w:rFonts w:ascii="Times New Roman" w:cs="Times New Roman" w:eastAsia="Times New Roman" w:hAnsi="Times New Roman"/>
          <w:sz w:val="19"/>
          <w:szCs w:val="19"/>
          <w:b w:val="1"/>
          <w:bCs w:val="1"/>
          <w:color w:val="auto"/>
        </w:rPr>
        <w:t>Esperion</w:t>
      </w:r>
      <w:r>
        <w:rPr>
          <w:rFonts w:ascii="Times New Roman" w:cs="Times New Roman" w:eastAsia="Times New Roman" w:hAnsi="Times New Roman"/>
          <w:sz w:val="19"/>
          <w:szCs w:val="19"/>
          <w:color w:val="auto"/>
        </w:rPr>
        <w:t>”), and Otsuka Pharmaceutical Co., Ltd., a corporation organized and existing under the laws of Japan with offices at 2-9, Kanda Tsukasa-machi, Chiyoda-ku, Tokyo 101-8535 Japan (“</w:t>
      </w:r>
      <w:r>
        <w:rPr>
          <w:rFonts w:ascii="Times New Roman" w:cs="Times New Roman" w:eastAsia="Times New Roman" w:hAnsi="Times New Roman"/>
          <w:sz w:val="19"/>
          <w:szCs w:val="19"/>
          <w:b w:val="1"/>
          <w:bCs w:val="1"/>
          <w:color w:val="auto"/>
        </w:rPr>
        <w:t>Otsuka</w:t>
      </w:r>
      <w:r>
        <w:rPr>
          <w:rFonts w:ascii="Times New Roman" w:cs="Times New Roman" w:eastAsia="Times New Roman" w:hAnsi="Times New Roman"/>
          <w:sz w:val="19"/>
          <w:szCs w:val="19"/>
          <w:color w:val="auto"/>
        </w:rPr>
        <w:t>”). Esperion and Otsuka are sometimes referred to herein individually as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as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Esperion and Otsuka are parties to that certain License and Collaboration Agreement, dated and effective as of April 17, 2020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Collaboration Agreement</w:t>
      </w:r>
      <w:r>
        <w:rPr>
          <w:rFonts w:ascii="Times New Roman" w:cs="Times New Roman" w:eastAsia="Times New Roman" w:hAnsi="Times New Roman"/>
          <w:sz w:val="19"/>
          <w:szCs w:val="19"/>
          <w:color w:val="auto"/>
        </w:rPr>
        <w:t>”); and</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Parties desire to amend the Collaboration Agreement as set forth in this Amendment.</w:t>
      </w:r>
    </w:p>
    <w:p>
      <w:pPr>
        <w:spacing w:after="0" w:line="221"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for good and valuable consideration, the receipt and sufficiency of which are hereby acknowledged, the Parties,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intending to be legally bound, hereby agree as follows:</w:t>
      </w:r>
    </w:p>
    <w:p>
      <w:pPr>
        <w:spacing w:after="0" w:line="160" w:lineRule="exact"/>
        <w:rPr>
          <w:sz w:val="20"/>
          <w:szCs w:val="20"/>
          <w:color w:val="auto"/>
        </w:rPr>
      </w:pPr>
    </w:p>
    <w:p>
      <w:pPr>
        <w:ind w:firstLine="624"/>
        <w:spacing w:after="0" w:line="274" w:lineRule="auto"/>
        <w:tabs>
          <w:tab w:leader="none" w:pos="12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Defined Terms</w:t>
      </w:r>
      <w:r>
        <w:rPr>
          <w:rFonts w:ascii="Times New Roman" w:cs="Times New Roman" w:eastAsia="Times New Roman" w:hAnsi="Times New Roman"/>
          <w:sz w:val="19"/>
          <w:szCs w:val="19"/>
          <w:color w:val="auto"/>
        </w:rPr>
        <w:t>. Except as defined herein, all capitalized terms used in this Amendment have the meaning set forth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Collaboration Agreement.</w:t>
      </w:r>
    </w:p>
    <w:p>
      <w:pPr>
        <w:spacing w:after="0" w:line="160" w:lineRule="exact"/>
        <w:rPr>
          <w:rFonts w:ascii="Times New Roman" w:cs="Times New Roman" w:eastAsia="Times New Roman" w:hAnsi="Times New Roman"/>
          <w:sz w:val="19"/>
          <w:szCs w:val="19"/>
          <w:color w:val="auto"/>
        </w:rPr>
      </w:pPr>
    </w:p>
    <w:p>
      <w:pPr>
        <w:ind w:left="1240" w:hanging="616"/>
        <w:spacing w:after="0"/>
        <w:tabs>
          <w:tab w:leader="none" w:pos="12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Amendment to the Collaboration Agreement</w:t>
      </w:r>
      <w:r>
        <w:rPr>
          <w:rFonts w:ascii="Times New Roman" w:cs="Times New Roman" w:eastAsia="Times New Roman" w:hAnsi="Times New Roman"/>
          <w:sz w:val="19"/>
          <w:szCs w:val="19"/>
          <w:color w:val="auto"/>
        </w:rPr>
        <w:t>. The Collaboration Agreement is hereby amended as follows:</w:t>
      </w:r>
    </w:p>
    <w:p>
      <w:pPr>
        <w:spacing w:after="0" w:line="238" w:lineRule="exact"/>
        <w:rPr>
          <w:sz w:val="20"/>
          <w:szCs w:val="20"/>
          <w:color w:val="auto"/>
        </w:rPr>
      </w:pPr>
    </w:p>
    <w:p>
      <w:pPr>
        <w:ind w:left="620"/>
        <w:spacing w:after="0"/>
        <w:tabs>
          <w:tab w:leader="none" w:pos="90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Section 9.6.1 (Royalty Rates) is hereby deleted in its entirety and replaced with the following:</w:t>
      </w:r>
    </w:p>
    <w:p>
      <w:pPr>
        <w:spacing w:after="0" w:line="243" w:lineRule="exact"/>
        <w:rPr>
          <w:sz w:val="20"/>
          <w:szCs w:val="20"/>
          <w:color w:val="auto"/>
        </w:rPr>
      </w:pPr>
    </w:p>
    <w:p>
      <w:pPr>
        <w:jc w:val="both"/>
        <w:ind w:left="940" w:firstLine="620"/>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9.6.1 </w:t>
      </w:r>
      <w:r>
        <w:rPr>
          <w:rFonts w:ascii="Times New Roman" w:cs="Times New Roman" w:eastAsia="Times New Roman" w:hAnsi="Times New Roman"/>
          <w:sz w:val="19"/>
          <w:szCs w:val="19"/>
          <w:b w:val="1"/>
          <w:bCs w:val="1"/>
          <w:u w:val="single" w:color="auto"/>
          <w:color w:val="auto"/>
        </w:rPr>
        <w:t>Royalty Rates</w:t>
      </w:r>
      <w:r>
        <w:rPr>
          <w:rFonts w:ascii="Times New Roman" w:cs="Times New Roman" w:eastAsia="Times New Roman" w:hAnsi="Times New Roman"/>
          <w:sz w:val="19"/>
          <w:szCs w:val="19"/>
          <w:color w:val="auto"/>
        </w:rPr>
        <w:t>. Subject to the terms and conditions of this Agreement, Otsuka shall pay to Esperion, on a 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Product-by-Licensed Product basis, royalties on annual Net Sales by Otsuka or its Sublicensees of each Licensed Product in the Otsuka Territory during the Royalty Term for such Licensed Product, on a tiered basis as set forth below. For clarity, the Net Sales of an Authorized Generic Product will be added to the Net Sales of the corresponding non-generic Licensed Product and the total Net Sales of the</w:t>
      </w:r>
    </w:p>
    <w:p>
      <w:pPr>
        <w:sectPr>
          <w:pgSz w:w="11900" w:h="16838" w:orient="portrait"/>
          <w:cols w:equalWidth="0" w:num="1">
            <w:col w:w="11240"/>
          </w:cols>
          <w:pgMar w:left="320" w:top="11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color w:val="FF0000"/>
        </w:rPr>
        <w:t>SUBJECT TO FRE 408 AND AGREEMENT NOT TO USE IN LITIGATION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40"/>
        <w:spacing w:after="0" w:line="284" w:lineRule="auto"/>
        <w:rPr>
          <w:sz w:val="20"/>
          <w:szCs w:val="20"/>
          <w:color w:val="auto"/>
        </w:rPr>
      </w:pPr>
      <w:r>
        <w:rPr>
          <w:rFonts w:ascii="Times New Roman" w:cs="Times New Roman" w:eastAsia="Times New Roman" w:hAnsi="Times New Roman"/>
          <w:sz w:val="19"/>
          <w:szCs w:val="19"/>
          <w:color w:val="auto"/>
        </w:rPr>
        <w:t>Authorized Generic Product and corresponding non-generic Licensed Product will be applied for the calculation of the royalties during the Royalty Term applicable to the corresponding Licensed Product.</w:t>
      </w:r>
    </w:p>
    <w:p>
      <w:pPr>
        <w:spacing w:after="0" w:line="168" w:lineRule="exact"/>
        <w:rPr>
          <w:sz w:val="20"/>
          <w:szCs w:val="20"/>
          <w:color w:val="auto"/>
        </w:rPr>
      </w:pPr>
    </w:p>
    <w:p>
      <w:pPr>
        <w:ind w:left="940"/>
        <w:spacing w:after="0" w:line="284" w:lineRule="auto"/>
        <w:rPr>
          <w:sz w:val="20"/>
          <w:szCs w:val="20"/>
          <w:color w:val="auto"/>
        </w:rPr>
      </w:pPr>
      <w:r>
        <w:rPr>
          <w:rFonts w:ascii="Times New Roman" w:cs="Times New Roman" w:eastAsia="Times New Roman" w:hAnsi="Times New Roman"/>
          <w:sz w:val="19"/>
          <w:szCs w:val="19"/>
          <w:color w:val="auto"/>
        </w:rPr>
        <w:t>The following royalty rates are applicable on a Licensed Product-by-Licensed Product basis if Tier 1 NHI Price Listing Milestone Event is reached:</w:t>
      </w:r>
    </w:p>
    <w:p>
      <w:pPr>
        <w:spacing w:after="0" w:line="194" w:lineRule="exact"/>
        <w:rPr>
          <w:sz w:val="20"/>
          <w:szCs w:val="20"/>
          <w:color w:val="auto"/>
        </w:rPr>
      </w:pPr>
    </w:p>
    <w:tbl>
      <w:tblPr>
        <w:tblLayout w:type="fixed"/>
        <w:tblInd w:w="630" w:type="dxa"/>
        <w:tblCellMar>
          <w:top w:w="0" w:type="dxa"/>
          <w:left w:w="0" w:type="dxa"/>
          <w:bottom w:w="0" w:type="dxa"/>
          <w:right w:w="0" w:type="dxa"/>
        </w:tblCellMar>
      </w:tblPr>
      <w:tr>
        <w:trPr>
          <w:trHeight w:val="247"/>
        </w:trPr>
        <w:tc>
          <w:tcPr>
            <w:tcW w:w="5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Portion of Aggregate Annual Net Sales of a Licensed Product in</w:t>
            </w:r>
          </w:p>
        </w:tc>
        <w:tc>
          <w:tcPr>
            <w:tcW w:w="4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Royalty</w:t>
            </w:r>
          </w:p>
        </w:tc>
      </w:tr>
      <w:tr>
        <w:trPr>
          <w:trHeight w:val="23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the Otsuka Territory</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(as a percentage of Aggregate Annual Net Sales)</w:t>
            </w:r>
          </w:p>
        </w:tc>
      </w:tr>
      <w:tr>
        <w:trPr>
          <w:trHeight w:val="249"/>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(JPY)</w:t>
            </w:r>
          </w:p>
        </w:tc>
        <w:tc>
          <w:tcPr>
            <w:tcW w:w="4300" w:type="dxa"/>
            <w:vAlign w:val="bottom"/>
            <w:tcBorders>
              <w:right w:val="single" w:sz="8" w:color="auto"/>
            </w:tcBorders>
          </w:tcPr>
          <w:p>
            <w:pPr>
              <w:spacing w:after="0"/>
              <w:rPr>
                <w:sz w:val="21"/>
                <w:szCs w:val="21"/>
                <w:color w:val="auto"/>
              </w:rPr>
            </w:pPr>
          </w:p>
        </w:tc>
      </w:tr>
      <w:tr>
        <w:trPr>
          <w:trHeight w:val="22"/>
        </w:trPr>
        <w:tc>
          <w:tcPr>
            <w:tcW w:w="5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30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Equal to or less than 20,000,000,000</w:t>
            </w:r>
          </w:p>
        </w:tc>
        <w:tc>
          <w:tcPr>
            <w:tcW w:w="4300" w:type="dxa"/>
            <w:vAlign w:val="bottom"/>
            <w:tcBorders>
              <w:right w:val="single" w:sz="8" w:color="auto"/>
            </w:tcBorders>
          </w:tcPr>
          <w:p>
            <w:pPr>
              <w:jc w:val="right"/>
              <w:ind w:right="1585"/>
              <w:spacing w:after="0"/>
              <w:rPr>
                <w:sz w:val="20"/>
                <w:szCs w:val="20"/>
                <w:color w:val="auto"/>
              </w:rPr>
            </w:pPr>
            <w:r>
              <w:rPr>
                <w:rFonts w:ascii="Times New Roman" w:cs="Times New Roman" w:eastAsia="Times New Roman" w:hAnsi="Times New Roman"/>
                <w:sz w:val="19"/>
                <w:szCs w:val="19"/>
                <w:color w:val="auto"/>
              </w:rPr>
              <w:t>12%</w:t>
            </w:r>
          </w:p>
        </w:tc>
      </w:tr>
      <w:tr>
        <w:trPr>
          <w:trHeight w:val="202"/>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4300" w:type="dxa"/>
            <w:vAlign w:val="bottom"/>
            <w:tcBorders>
              <w:bottom w:val="single" w:sz="8" w:color="auto"/>
              <w:right w:val="single" w:sz="8" w:color="auto"/>
            </w:tcBorders>
          </w:tcPr>
          <w:p>
            <w:pPr>
              <w:spacing w:after="0"/>
              <w:rPr>
                <w:sz w:val="17"/>
                <w:szCs w:val="17"/>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20,000,000,000 and equal to or less than 40,000,000,000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40,000,000,000 and equal to or less than 60,000,000,000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60,000,000,000 and equal to or less than 75,000,000,000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75,000,000,000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bl>
    <w:p>
      <w:pPr>
        <w:spacing w:after="0" w:line="302" w:lineRule="exact"/>
        <w:rPr>
          <w:sz w:val="20"/>
          <w:szCs w:val="20"/>
          <w:color w:val="auto"/>
        </w:rPr>
      </w:pPr>
    </w:p>
    <w:p>
      <w:pPr>
        <w:ind w:left="940"/>
        <w:spacing w:after="0" w:line="284" w:lineRule="auto"/>
        <w:rPr>
          <w:sz w:val="20"/>
          <w:szCs w:val="20"/>
          <w:color w:val="auto"/>
        </w:rPr>
      </w:pPr>
      <w:r>
        <w:rPr>
          <w:rFonts w:ascii="Times New Roman" w:cs="Times New Roman" w:eastAsia="Times New Roman" w:hAnsi="Times New Roman"/>
          <w:sz w:val="19"/>
          <w:szCs w:val="19"/>
          <w:color w:val="auto"/>
        </w:rPr>
        <w:t>The following royalty rates are applicable on a Licensed Product-by-Licensed Product basis if Tier 2 NHI Price Listing Milestone Event is reached:</w:t>
      </w:r>
    </w:p>
    <w:p>
      <w:pPr>
        <w:spacing w:after="0" w:line="194" w:lineRule="exact"/>
        <w:rPr>
          <w:sz w:val="20"/>
          <w:szCs w:val="20"/>
          <w:color w:val="auto"/>
        </w:rPr>
      </w:pPr>
    </w:p>
    <w:tbl>
      <w:tblPr>
        <w:tblLayout w:type="fixed"/>
        <w:tblInd w:w="630" w:type="dxa"/>
        <w:tblCellMar>
          <w:top w:w="0" w:type="dxa"/>
          <w:left w:w="0" w:type="dxa"/>
          <w:bottom w:w="0" w:type="dxa"/>
          <w:right w:w="0" w:type="dxa"/>
        </w:tblCellMar>
      </w:tblPr>
      <w:tr>
        <w:trPr>
          <w:trHeight w:val="247"/>
        </w:trPr>
        <w:tc>
          <w:tcPr>
            <w:tcW w:w="5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Portion of Aggregate Annual Net Sales of a Licensed Product in</w:t>
            </w:r>
          </w:p>
        </w:tc>
        <w:tc>
          <w:tcPr>
            <w:tcW w:w="4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Royalty</w:t>
            </w:r>
          </w:p>
        </w:tc>
      </w:tr>
      <w:tr>
        <w:trPr>
          <w:trHeight w:val="220"/>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the Otsuka Territory</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(as a percentage of Aggregate Annual Net Sales)</w:t>
            </w:r>
          </w:p>
        </w:tc>
      </w:tr>
      <w:tr>
        <w:trPr>
          <w:trHeight w:val="249"/>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(JPY)</w:t>
            </w:r>
          </w:p>
        </w:tc>
        <w:tc>
          <w:tcPr>
            <w:tcW w:w="4300" w:type="dxa"/>
            <w:vAlign w:val="bottom"/>
            <w:tcBorders>
              <w:right w:val="single" w:sz="8" w:color="auto"/>
            </w:tcBorders>
          </w:tcPr>
          <w:p>
            <w:pPr>
              <w:spacing w:after="0"/>
              <w:rPr>
                <w:sz w:val="21"/>
                <w:szCs w:val="21"/>
                <w:color w:val="auto"/>
              </w:rPr>
            </w:pP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Equal to or less than 20,000,000,000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20,000,000,000 and equal to or less than 40,000,000,000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40,000,000,000 and equal to or less than 60,000,000,000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60,000,000,000 and equal to or less than 75,000,000,000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75,000,000,000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bl>
    <w:p>
      <w:pPr>
        <w:spacing w:after="0" w:line="302" w:lineRule="exact"/>
        <w:rPr>
          <w:sz w:val="20"/>
          <w:szCs w:val="20"/>
          <w:color w:val="auto"/>
        </w:rPr>
      </w:pPr>
    </w:p>
    <w:p>
      <w:pPr>
        <w:ind w:left="940"/>
        <w:spacing w:after="0" w:line="270" w:lineRule="auto"/>
        <w:rPr>
          <w:sz w:val="20"/>
          <w:szCs w:val="20"/>
          <w:color w:val="auto"/>
        </w:rPr>
      </w:pPr>
      <w:r>
        <w:rPr>
          <w:rFonts w:ascii="Times New Roman" w:cs="Times New Roman" w:eastAsia="Times New Roman" w:hAnsi="Times New Roman"/>
          <w:sz w:val="19"/>
          <w:szCs w:val="19"/>
          <w:color w:val="auto"/>
        </w:rPr>
        <w:t>The following royalty rates are applicable on a Licensed Product-by-Licensed Product basis if Tier 3 NHI Price Listing Milestone Event is reached:</w:t>
      </w:r>
    </w:p>
    <w:p>
      <w:pPr>
        <w:spacing w:after="0" w:line="220" w:lineRule="exact"/>
        <w:rPr>
          <w:sz w:val="20"/>
          <w:szCs w:val="20"/>
          <w:color w:val="auto"/>
        </w:rPr>
      </w:pPr>
    </w:p>
    <w:tbl>
      <w:tblPr>
        <w:tblLayout w:type="fixed"/>
        <w:tblInd w:w="630" w:type="dxa"/>
        <w:tblCellMar>
          <w:top w:w="0" w:type="dxa"/>
          <w:left w:w="0" w:type="dxa"/>
          <w:bottom w:w="0" w:type="dxa"/>
          <w:right w:w="0" w:type="dxa"/>
        </w:tblCellMar>
      </w:tblPr>
      <w:tr>
        <w:trPr>
          <w:trHeight w:val="247"/>
        </w:trPr>
        <w:tc>
          <w:tcPr>
            <w:tcW w:w="5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Portion of Aggregate Annual Net Sales of a Licensed Product in</w:t>
            </w:r>
          </w:p>
        </w:tc>
        <w:tc>
          <w:tcPr>
            <w:tcW w:w="4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Royalty</w:t>
            </w:r>
          </w:p>
        </w:tc>
      </w:tr>
      <w:tr>
        <w:trPr>
          <w:trHeight w:val="220"/>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the Otsuka Territory</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(as a percentage of Aggregate Annual Net Sales)</w:t>
            </w:r>
          </w:p>
        </w:tc>
      </w:tr>
      <w:tr>
        <w:trPr>
          <w:trHeight w:val="249"/>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(JPY)</w:t>
            </w:r>
          </w:p>
        </w:tc>
        <w:tc>
          <w:tcPr>
            <w:tcW w:w="4300" w:type="dxa"/>
            <w:vAlign w:val="bottom"/>
            <w:tcBorders>
              <w:right w:val="single" w:sz="8" w:color="auto"/>
            </w:tcBorders>
          </w:tcPr>
          <w:p>
            <w:pPr>
              <w:spacing w:after="0"/>
              <w:rPr>
                <w:sz w:val="21"/>
                <w:szCs w:val="21"/>
                <w:color w:val="auto"/>
              </w:rPr>
            </w:pP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Equal to or less than 20,000,000,000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20,000,000,000 and equal to or less than 40,000,000,000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40,000,000,000 and equal to or less than 60,000,000,000</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2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color w:val="FF0000"/>
        </w:rPr>
        <w:t>SUBJECT TO FRE 408 AND AGREEMENT NOT TO USE IN LITIGATION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30" w:type="dxa"/>
        <w:tblCellMar>
          <w:top w:w="0" w:type="dxa"/>
          <w:left w:w="0" w:type="dxa"/>
          <w:bottom w:w="0" w:type="dxa"/>
          <w:right w:w="0" w:type="dxa"/>
        </w:tblCellMar>
      </w:tblPr>
      <w:tr>
        <w:trPr>
          <w:trHeight w:val="263"/>
        </w:trPr>
        <w:tc>
          <w:tcPr>
            <w:tcW w:w="5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60,000,000,000 and equal to or less than 75,000,000,000</w:t>
            </w:r>
          </w:p>
        </w:tc>
        <w:tc>
          <w:tcPr>
            <w:tcW w:w="4300" w:type="dxa"/>
            <w:vAlign w:val="bottom"/>
            <w:tcBorders>
              <w:top w:val="single" w:sz="8" w:color="auto"/>
              <w:right w:val="single" w:sz="8" w:color="auto"/>
            </w:tcBorders>
          </w:tcPr>
          <w:p>
            <w:pPr>
              <w:jc w:val="right"/>
              <w:ind w:right="1785"/>
              <w:spacing w:after="0"/>
              <w:rPr>
                <w:sz w:val="20"/>
                <w:szCs w:val="20"/>
                <w:color w:val="auto"/>
              </w:rPr>
            </w:pPr>
            <w:r>
              <w:rPr>
                <w:rFonts w:ascii="Times New Roman" w:cs="Times New Roman" w:eastAsia="Times New Roman" w:hAnsi="Times New Roman"/>
                <w:sz w:val="19"/>
                <w:szCs w:val="19"/>
                <w:color w:val="auto"/>
              </w:rPr>
              <w:t>[***]%</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43"/>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Greater than 75,000,000,000</w:t>
            </w:r>
          </w:p>
        </w:tc>
        <w:tc>
          <w:tcPr>
            <w:tcW w:w="4300" w:type="dxa"/>
            <w:vAlign w:val="bottom"/>
            <w:tcBorders>
              <w:right w:val="single" w:sz="8" w:color="auto"/>
            </w:tcBorders>
          </w:tcPr>
          <w:p>
            <w:pPr>
              <w:jc w:val="right"/>
              <w:ind w:right="1585"/>
              <w:spacing w:after="0"/>
              <w:rPr>
                <w:sz w:val="20"/>
                <w:szCs w:val="20"/>
                <w:color w:val="auto"/>
              </w:rPr>
            </w:pPr>
            <w:r>
              <w:rPr>
                <w:rFonts w:ascii="Times New Roman" w:cs="Times New Roman" w:eastAsia="Times New Roman" w:hAnsi="Times New Roman"/>
                <w:sz w:val="19"/>
                <w:szCs w:val="19"/>
                <w:color w:val="auto"/>
              </w:rPr>
              <w:t>33%</w:t>
            </w:r>
          </w:p>
        </w:tc>
      </w:tr>
      <w:tr>
        <w:trPr>
          <w:trHeight w:val="202"/>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4300" w:type="dxa"/>
            <w:vAlign w:val="bottom"/>
            <w:tcBorders>
              <w:bottom w:val="single" w:sz="8" w:color="auto"/>
              <w:right w:val="single" w:sz="8" w:color="auto"/>
            </w:tcBorders>
          </w:tcPr>
          <w:p>
            <w:pPr>
              <w:spacing w:after="0"/>
              <w:rPr>
                <w:sz w:val="17"/>
                <w:szCs w:val="17"/>
                <w:color w:val="auto"/>
              </w:rPr>
            </w:pPr>
          </w:p>
        </w:tc>
      </w:tr>
    </w:tbl>
    <w:p>
      <w:pPr>
        <w:spacing w:after="0" w:line="298" w:lineRule="exact"/>
        <w:rPr>
          <w:sz w:val="20"/>
          <w:szCs w:val="20"/>
          <w:color w:val="auto"/>
        </w:rPr>
      </w:pPr>
    </w:p>
    <w:p>
      <w:pPr>
        <w:jc w:val="both"/>
        <w:ind w:firstLine="624"/>
        <w:spacing w:after="0" w:line="265" w:lineRule="auto"/>
        <w:tabs>
          <w:tab w:leader="none" w:pos="12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Other Changes</w:t>
      </w:r>
      <w:r>
        <w:rPr>
          <w:rFonts w:ascii="Times New Roman" w:cs="Times New Roman" w:eastAsia="Times New Roman" w:hAnsi="Times New Roman"/>
          <w:sz w:val="19"/>
          <w:szCs w:val="19"/>
          <w:color w:val="auto"/>
        </w:rPr>
        <w:t>. All other original terms and conditions of the Collaboration Agreement, except as specifically amended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 will remain in full force and effect. To the extent there is a conflict between this Amendment and the Collaboration Agreement, the provisions of this Amendment will control.</w:t>
      </w:r>
    </w:p>
    <w:p>
      <w:pPr>
        <w:spacing w:after="0" w:line="180" w:lineRule="exact"/>
        <w:rPr>
          <w:rFonts w:ascii="Times New Roman" w:cs="Times New Roman" w:eastAsia="Times New Roman" w:hAnsi="Times New Roman"/>
          <w:sz w:val="19"/>
          <w:szCs w:val="19"/>
          <w:color w:val="auto"/>
        </w:rPr>
      </w:pPr>
    </w:p>
    <w:p>
      <w:pPr>
        <w:ind w:left="1240" w:hanging="616"/>
        <w:spacing w:after="0"/>
        <w:tabs>
          <w:tab w:leader="none" w:pos="12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Effectiveness</w:t>
      </w:r>
      <w:r>
        <w:rPr>
          <w:rFonts w:ascii="Times New Roman" w:cs="Times New Roman" w:eastAsia="Times New Roman" w:hAnsi="Times New Roman"/>
          <w:sz w:val="19"/>
          <w:szCs w:val="19"/>
          <w:color w:val="auto"/>
        </w:rPr>
        <w:t>. This Amendment will be effective as of the Amendment Effective Date.</w:t>
      </w:r>
    </w:p>
    <w:p>
      <w:pPr>
        <w:spacing w:after="0" w:line="246" w:lineRule="exact"/>
        <w:rPr>
          <w:rFonts w:ascii="Times New Roman" w:cs="Times New Roman" w:eastAsia="Times New Roman" w:hAnsi="Times New Roman"/>
          <w:sz w:val="19"/>
          <w:szCs w:val="19"/>
          <w:color w:val="auto"/>
        </w:rPr>
      </w:pPr>
    </w:p>
    <w:p>
      <w:pPr>
        <w:jc w:val="both"/>
        <w:ind w:firstLine="624"/>
        <w:spacing w:after="0" w:line="261" w:lineRule="auto"/>
        <w:tabs>
          <w:tab w:leader="none" w:pos="12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Assignment</w:t>
      </w:r>
      <w:r>
        <w:rPr>
          <w:rFonts w:ascii="Times New Roman" w:cs="Times New Roman" w:eastAsia="Times New Roman" w:hAnsi="Times New Roman"/>
          <w:sz w:val="19"/>
          <w:szCs w:val="19"/>
          <w:color w:val="auto"/>
        </w:rPr>
        <w:t>. This Amendment may not be assigned, nor may any right or obligation hereunder be assigned, by either Party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prior written consent of the other Party, except that either Party may assign this Amendment, and its rights and obligations hereunder, without the other Party’s prior written consent together with an assignment of the Collaboration Agreement in accordance with Section 14.2 (Assignment) of the Collaboration Agreement.</w:t>
      </w:r>
    </w:p>
    <w:p>
      <w:pPr>
        <w:spacing w:after="0" w:line="186" w:lineRule="exact"/>
        <w:rPr>
          <w:rFonts w:ascii="Times New Roman" w:cs="Times New Roman" w:eastAsia="Times New Roman" w:hAnsi="Times New Roman"/>
          <w:sz w:val="19"/>
          <w:szCs w:val="19"/>
          <w:color w:val="auto"/>
        </w:rPr>
      </w:pPr>
    </w:p>
    <w:p>
      <w:pPr>
        <w:jc w:val="both"/>
        <w:ind w:firstLine="624"/>
        <w:spacing w:after="0" w:line="261" w:lineRule="auto"/>
        <w:tabs>
          <w:tab w:leader="none" w:pos="12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 The provisions of Sections 14.3 (Governing Law), 14.4 (Jurisdiction), 14.5 (Entire Agreement; Amendments); 14.6</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(Severability), 14.7 (Headings), 14.8 (Waiver of Rule of Construction), 14.9 (Interpretation), 14.10 (No Implied Waivers; Rights Cumulative), 14.15.1 (Use of Affiliates), 14.16 (Binding Effect; No Third Party Beneficiaries), and 14.17 (Counterparts) of the Collaboration Agreement are hereby incorporated into this Amendment by reference and shall apply to this Amendment,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23" w:right="339" w:bottom="1440" w:gutter="0" w:footer="0" w:header="0"/>
        </w:sectPr>
      </w:pPr>
    </w:p>
    <w:bookmarkStart w:id="155" w:name="page156"/>
    <w:bookmarkEnd w:id="155"/>
    <w:p>
      <w:pPr>
        <w:jc w:val="center"/>
        <w:spacing w:after="0" w:line="293" w:lineRule="auto"/>
        <w:rPr>
          <w:sz w:val="20"/>
          <w:szCs w:val="20"/>
          <w:color w:val="auto"/>
        </w:rPr>
      </w:pPr>
      <w:r>
        <w:rPr>
          <w:rFonts w:ascii="Times New Roman" w:cs="Times New Roman" w:eastAsia="Times New Roman" w:hAnsi="Times New Roman"/>
          <w:sz w:val="17"/>
          <w:szCs w:val="17"/>
          <w:b w:val="1"/>
          <w:bCs w:val="1"/>
          <w:color w:val="FF0000"/>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caused this Amendment to be duly executed by their respective duly authorized officers as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Amendment Effective Date.</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37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Esperion Therapeutics, Inc.</w:t>
            </w:r>
          </w:p>
        </w:tc>
        <w:tc>
          <w:tcPr>
            <w:tcW w:w="4080" w:type="dxa"/>
            <w:vAlign w:val="bottom"/>
            <w:gridSpan w:val="3"/>
          </w:tcPr>
          <w:p>
            <w:pPr>
              <w:ind w:left="1400"/>
              <w:spacing w:after="0"/>
              <w:rPr>
                <w:sz w:val="20"/>
                <w:szCs w:val="20"/>
                <w:color w:val="auto"/>
              </w:rPr>
            </w:pPr>
            <w:r>
              <w:rPr>
                <w:rFonts w:ascii="Times New Roman" w:cs="Times New Roman" w:eastAsia="Times New Roman" w:hAnsi="Times New Roman"/>
                <w:sz w:val="19"/>
                <w:szCs w:val="19"/>
                <w:b w:val="1"/>
                <w:bCs w:val="1"/>
                <w:color w:val="auto"/>
                <w:w w:val="99"/>
              </w:rPr>
              <w:t>Otsuka Pharmaceutical Co., Ltd.</w:t>
            </w:r>
          </w:p>
        </w:tc>
      </w:tr>
      <w:tr>
        <w:trPr>
          <w:trHeight w:val="732"/>
        </w:trPr>
        <w:tc>
          <w:tcPr>
            <w:tcW w:w="3740" w:type="dxa"/>
            <w:vAlign w:val="bottom"/>
            <w:gridSpan w:val="3"/>
          </w:tcPr>
          <w:p>
            <w:pPr>
              <w:ind w:left="40"/>
              <w:spacing w:after="0"/>
              <w:rPr>
                <w:sz w:val="20"/>
                <w:szCs w:val="20"/>
                <w:color w:val="auto"/>
              </w:rPr>
            </w:pPr>
            <w:r>
              <w:rPr>
                <w:rFonts w:ascii="Times New Roman" w:cs="Times New Roman" w:eastAsia="Times New Roman" w:hAnsi="Times New Roman"/>
                <w:sz w:val="19"/>
                <w:szCs w:val="19"/>
                <w:b w:val="1"/>
                <w:bCs w:val="1"/>
                <w:color w:val="auto"/>
              </w:rPr>
              <w:t>By</w:t>
            </w:r>
            <w:r>
              <w:rPr>
                <w:rFonts w:ascii="Times New Roman" w:cs="Times New Roman" w:eastAsia="Times New Roman" w:hAnsi="Times New Roman"/>
                <w:sz w:val="19"/>
                <w:szCs w:val="19"/>
                <w:color w:val="auto"/>
              </w:rPr>
              <w:t>: _/s/ Authorized Signatory</w:t>
            </w:r>
          </w:p>
        </w:tc>
        <w:tc>
          <w:tcPr>
            <w:tcW w:w="4080" w:type="dxa"/>
            <w:vAlign w:val="bottom"/>
            <w:gridSpan w:val="3"/>
          </w:tcPr>
          <w:p>
            <w:pPr>
              <w:ind w:left="1460"/>
              <w:spacing w:after="0"/>
              <w:rPr>
                <w:sz w:val="20"/>
                <w:szCs w:val="20"/>
                <w:color w:val="auto"/>
              </w:rPr>
            </w:pPr>
            <w:r>
              <w:rPr>
                <w:rFonts w:ascii="Times New Roman" w:cs="Times New Roman" w:eastAsia="Times New Roman" w:hAnsi="Times New Roman"/>
                <w:sz w:val="19"/>
                <w:szCs w:val="19"/>
                <w:b w:val="1"/>
                <w:bCs w:val="1"/>
                <w:color w:val="auto"/>
              </w:rPr>
              <w:t>By</w:t>
            </w:r>
            <w:r>
              <w:rPr>
                <w:rFonts w:ascii="Times New Roman" w:cs="Times New Roman" w:eastAsia="Times New Roman" w:hAnsi="Times New Roman"/>
                <w:sz w:val="19"/>
                <w:szCs w:val="19"/>
                <w:color w:val="auto"/>
              </w:rPr>
              <w:t>: _/s/ Authorized Signatory</w:t>
            </w:r>
          </w:p>
        </w:tc>
      </w:tr>
      <w:tr>
        <w:trPr>
          <w:trHeight w:val="20"/>
        </w:trPr>
        <w:tc>
          <w:tcPr>
            <w:tcW w:w="3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7"/>
        </w:trPr>
        <w:tc>
          <w:tcPr>
            <w:tcW w:w="3740" w:type="dxa"/>
            <w:vAlign w:val="bottom"/>
            <w:gridSpan w:val="3"/>
          </w:tcPr>
          <w:p>
            <w:pPr>
              <w:ind w:left="40"/>
              <w:spacing w:after="0"/>
              <w:rPr>
                <w:sz w:val="20"/>
                <w:szCs w:val="20"/>
                <w:color w:val="auto"/>
              </w:rPr>
            </w:pPr>
            <w:r>
              <w:rPr>
                <w:rFonts w:ascii="Times New Roman" w:cs="Times New Roman" w:eastAsia="Times New Roman" w:hAnsi="Times New Roman"/>
                <w:sz w:val="19"/>
                <w:szCs w:val="19"/>
                <w:b w:val="1"/>
                <w:bCs w:val="1"/>
                <w:color w:val="auto"/>
              </w:rPr>
              <w:t>Name</w:t>
            </w:r>
            <w:r>
              <w:rPr>
                <w:rFonts w:ascii="Times New Roman" w:cs="Times New Roman" w:eastAsia="Times New Roman" w:hAnsi="Times New Roman"/>
                <w:sz w:val="19"/>
                <w:szCs w:val="19"/>
                <w:color w:val="auto"/>
              </w:rPr>
              <w:t>: [***]</w:t>
            </w:r>
          </w:p>
        </w:tc>
        <w:tc>
          <w:tcPr>
            <w:tcW w:w="4080" w:type="dxa"/>
            <w:vAlign w:val="bottom"/>
            <w:gridSpan w:val="3"/>
          </w:tcPr>
          <w:p>
            <w:pPr>
              <w:ind w:left="1460"/>
              <w:spacing w:after="0"/>
              <w:rPr>
                <w:sz w:val="20"/>
                <w:szCs w:val="20"/>
                <w:color w:val="auto"/>
              </w:rPr>
            </w:pPr>
            <w:r>
              <w:rPr>
                <w:rFonts w:ascii="Times New Roman" w:cs="Times New Roman" w:eastAsia="Times New Roman" w:hAnsi="Times New Roman"/>
                <w:sz w:val="19"/>
                <w:szCs w:val="19"/>
                <w:b w:val="1"/>
                <w:bCs w:val="1"/>
                <w:color w:val="auto"/>
              </w:rPr>
              <w:t>Name</w:t>
            </w:r>
            <w:r>
              <w:rPr>
                <w:rFonts w:ascii="Times New Roman" w:cs="Times New Roman" w:eastAsia="Times New Roman" w:hAnsi="Times New Roman"/>
                <w:sz w:val="19"/>
                <w:szCs w:val="19"/>
                <w:color w:val="auto"/>
              </w:rPr>
              <w:t>: [***]</w:t>
            </w:r>
          </w:p>
        </w:tc>
      </w:tr>
      <w:tr>
        <w:trPr>
          <w:trHeight w:val="284"/>
        </w:trPr>
        <w:tc>
          <w:tcPr>
            <w:tcW w:w="3740" w:type="dxa"/>
            <w:vAlign w:val="bottom"/>
            <w:gridSpan w:val="3"/>
          </w:tcPr>
          <w:p>
            <w:pPr>
              <w:ind w:left="40"/>
              <w:spacing w:after="0"/>
              <w:rPr>
                <w:sz w:val="20"/>
                <w:szCs w:val="20"/>
                <w:color w:val="auto"/>
              </w:rPr>
            </w:pPr>
            <w:r>
              <w:rPr>
                <w:rFonts w:ascii="Times New Roman" w:cs="Times New Roman" w:eastAsia="Times New Roman" w:hAnsi="Times New Roman"/>
                <w:sz w:val="19"/>
                <w:szCs w:val="19"/>
                <w:b w:val="1"/>
                <w:bCs w:val="1"/>
                <w:color w:val="auto"/>
              </w:rPr>
              <w:t>Title</w:t>
            </w:r>
            <w:r>
              <w:rPr>
                <w:rFonts w:ascii="Times New Roman" w:cs="Times New Roman" w:eastAsia="Times New Roman" w:hAnsi="Times New Roman"/>
                <w:sz w:val="19"/>
                <w:szCs w:val="19"/>
                <w:color w:val="auto"/>
              </w:rPr>
              <w:t>: [***]</w:t>
            </w:r>
          </w:p>
        </w:tc>
        <w:tc>
          <w:tcPr>
            <w:tcW w:w="4080" w:type="dxa"/>
            <w:vAlign w:val="bottom"/>
            <w:gridSpan w:val="3"/>
          </w:tcPr>
          <w:p>
            <w:pPr>
              <w:ind w:left="1460"/>
              <w:spacing w:after="0"/>
              <w:rPr>
                <w:sz w:val="20"/>
                <w:szCs w:val="20"/>
                <w:color w:val="auto"/>
              </w:rPr>
            </w:pPr>
            <w:r>
              <w:rPr>
                <w:rFonts w:ascii="Times New Roman" w:cs="Times New Roman" w:eastAsia="Times New Roman" w:hAnsi="Times New Roman"/>
                <w:sz w:val="19"/>
                <w:szCs w:val="19"/>
                <w:b w:val="1"/>
                <w:bCs w:val="1"/>
                <w:color w:val="auto"/>
              </w:rPr>
              <w:t>Title</w:t>
            </w:r>
            <w:r>
              <w:rPr>
                <w:rFonts w:ascii="Times New Roman" w:cs="Times New Roman" w:eastAsia="Times New Roman" w:hAnsi="Times New Roman"/>
                <w:sz w:val="19"/>
                <w:szCs w:val="19"/>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First Amendment to License and Collaboration Agreement</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19"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44" w:lineRule="exact"/>
        <w:rPr>
          <w:sz w:val="20"/>
          <w:szCs w:val="20"/>
          <w:color w:val="auto"/>
        </w:rPr>
      </w:pPr>
    </w:p>
    <w:p>
      <w:pPr>
        <w:ind w:left="620" w:hanging="307"/>
        <w:spacing w:after="0"/>
        <w:tabs>
          <w:tab w:leader="none" w:pos="620"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S-3 No. 333-286631) of Esperion Therapeutics, Inc.</w:t>
      </w:r>
    </w:p>
    <w:p>
      <w:pPr>
        <w:spacing w:after="0" w:line="15" w:lineRule="exact"/>
        <w:rPr>
          <w:rFonts w:ascii="Arial" w:cs="Arial" w:eastAsia="Arial" w:hAnsi="Arial"/>
          <w:sz w:val="21"/>
          <w:szCs w:val="21"/>
          <w:color w:val="auto"/>
        </w:rPr>
      </w:pPr>
    </w:p>
    <w:p>
      <w:pPr>
        <w:ind w:left="620" w:hanging="307"/>
        <w:spacing w:after="0" w:line="226" w:lineRule="auto"/>
        <w:tabs>
          <w:tab w:leader="none" w:pos="620" w:val="left"/>
        </w:tabs>
        <w:numPr>
          <w:ilvl w:val="0"/>
          <w:numId w:val="66"/>
        </w:numPr>
        <w:rPr>
          <w:rFonts w:ascii="Arial" w:cs="Arial" w:eastAsia="Arial" w:hAnsi="Arial"/>
          <w:sz w:val="20"/>
          <w:szCs w:val="20"/>
          <w:color w:val="auto"/>
        </w:rPr>
      </w:pPr>
      <w:r>
        <w:rPr>
          <w:rFonts w:ascii="Arial" w:cs="Arial" w:eastAsia="Arial" w:hAnsi="Arial"/>
          <w:sz w:val="15"/>
          <w:szCs w:val="15"/>
          <w:color w:val="auto"/>
        </w:rPr>
        <w:t>Registration Statement (Form S-8 No. 333-289575) pertaining to the 2022 Stock Option and Incentive Plan, as amended, of Esperion Therapeutics, Inc.</w:t>
      </w:r>
    </w:p>
    <w:p>
      <w:pPr>
        <w:spacing w:after="0" w:line="16" w:lineRule="exact"/>
        <w:rPr>
          <w:rFonts w:ascii="Arial" w:cs="Arial" w:eastAsia="Arial" w:hAnsi="Arial"/>
          <w:sz w:val="20"/>
          <w:szCs w:val="20"/>
          <w:color w:val="auto"/>
        </w:rPr>
      </w:pPr>
    </w:p>
    <w:p>
      <w:pPr>
        <w:ind w:left="620" w:right="220" w:hanging="307"/>
        <w:spacing w:after="0" w:line="216" w:lineRule="auto"/>
        <w:tabs>
          <w:tab w:leader="none" w:pos="615"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S-8 No. 333-281486) pertaining to the 2022 Stock Option and Incentive Plan, as amended, of Esperion Therapeutics, Inc. and the 2020 Employee Stock Purchase Plan, as amended, of Esperion Therapeutics, Inc.</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66"/>
        </w:numPr>
        <w:rPr>
          <w:rFonts w:ascii="Times New Roman" w:cs="Times New Roman" w:eastAsia="Times New Roman" w:hAnsi="Times New Roman"/>
          <w:sz w:val="20"/>
          <w:szCs w:val="20"/>
          <w:color w:val="auto"/>
        </w:rPr>
      </w:pPr>
      <w:r>
        <w:rPr>
          <w:rFonts w:ascii="Arial" w:cs="Arial" w:eastAsia="Arial" w:hAnsi="Arial"/>
          <w:sz w:val="15"/>
          <w:szCs w:val="15"/>
          <w:color w:val="auto"/>
        </w:rPr>
        <w:t>Registration Statement (Form S-8 No. 333-274183) pertaining to the Amended 2017 Inducement Equity Plan, as amended, of Esperion Therapeutics, Inc.</w:t>
      </w:r>
    </w:p>
    <w:p>
      <w:pPr>
        <w:spacing w:after="0" w:line="11" w:lineRule="exact"/>
        <w:rPr>
          <w:rFonts w:ascii="Times New Roman" w:cs="Times New Roman" w:eastAsia="Times New Roman" w:hAnsi="Times New Roman"/>
          <w:sz w:val="20"/>
          <w:szCs w:val="20"/>
          <w:color w:val="auto"/>
        </w:rPr>
      </w:pPr>
    </w:p>
    <w:p>
      <w:pPr>
        <w:ind w:left="620" w:hanging="307"/>
        <w:spacing w:after="0" w:line="230" w:lineRule="exact"/>
        <w:tabs>
          <w:tab w:leader="none" w:pos="620" w:val="left"/>
        </w:tabs>
        <w:numPr>
          <w:ilvl w:val="0"/>
          <w:numId w:val="66"/>
        </w:numPr>
        <w:rPr>
          <w:rFonts w:ascii="Arial" w:cs="Arial" w:eastAsia="Arial" w:hAnsi="Arial"/>
          <w:sz w:val="20"/>
          <w:szCs w:val="20"/>
          <w:color w:val="auto"/>
        </w:rPr>
      </w:pPr>
      <w:r>
        <w:rPr>
          <w:rFonts w:ascii="Arial" w:cs="Arial" w:eastAsia="Arial" w:hAnsi="Arial"/>
          <w:sz w:val="15"/>
          <w:szCs w:val="15"/>
          <w:color w:val="auto"/>
        </w:rPr>
        <w:t>Registration Statement (Form S</w:t>
      </w:r>
      <w:r>
        <w:rPr>
          <w:rFonts w:ascii="MS PGothic" w:cs="MS PGothic" w:eastAsia="MS PGothic" w:hAnsi="MS PGothic"/>
          <w:sz w:val="15"/>
          <w:szCs w:val="15"/>
          <w:color w:val="auto"/>
        </w:rPr>
        <w:t>‑</w:t>
      </w:r>
      <w:r>
        <w:rPr>
          <w:rFonts w:ascii="Arial" w:cs="Arial" w:eastAsia="Arial" w:hAnsi="Arial"/>
          <w:sz w:val="15"/>
          <w:szCs w:val="15"/>
          <w:color w:val="auto"/>
        </w:rPr>
        <w:t>8 No. 333-273555) pertaining to the 2022 Stock Option and Incentive Plan, as amended, of Esperion Therapeutics, Inc.</w:t>
      </w:r>
    </w:p>
    <w:p>
      <w:pPr>
        <w:spacing w:after="0" w:line="10" w:lineRule="exact"/>
        <w:rPr>
          <w:rFonts w:ascii="Arial" w:cs="Arial" w:eastAsia="Arial" w:hAnsi="Arial"/>
          <w:sz w:val="20"/>
          <w:szCs w:val="20"/>
          <w:color w:val="auto"/>
        </w:rPr>
      </w:pPr>
    </w:p>
    <w:p>
      <w:pPr>
        <w:ind w:left="620" w:hanging="307"/>
        <w:spacing w:after="0" w:line="233" w:lineRule="exact"/>
        <w:tabs>
          <w:tab w:leader="none" w:pos="620"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333-265247) pertaining to the 2022 Stock Option and Incentive Plan of Esperion Therapeutics, Inc.</w:t>
      </w:r>
    </w:p>
    <w:p>
      <w:pPr>
        <w:ind w:left="620" w:right="800" w:hanging="307"/>
        <w:spacing w:after="0" w:line="190" w:lineRule="exact"/>
        <w:tabs>
          <w:tab w:leader="none" w:pos="615"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333-262881) pertaining to the Amended and Restated 2013 Stock Option and Incentive Plan of Esperion Therapeutics, Inc.</w:t>
      </w:r>
    </w:p>
    <w:p>
      <w:pPr>
        <w:spacing w:after="0" w:line="1" w:lineRule="exact"/>
        <w:rPr>
          <w:rFonts w:ascii="Arial" w:cs="Arial" w:eastAsia="Arial" w:hAnsi="Arial"/>
          <w:sz w:val="21"/>
          <w:szCs w:val="21"/>
          <w:color w:val="auto"/>
        </w:rPr>
      </w:pPr>
    </w:p>
    <w:p>
      <w:pPr>
        <w:ind w:left="620" w:right="800" w:hanging="307"/>
        <w:spacing w:after="0" w:line="207" w:lineRule="exact"/>
        <w:tabs>
          <w:tab w:leader="none" w:pos="615"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333-253414) pertaining to the Amended and Restated 2013 Stock Option and Incentive Plan of Esperion Therapeutics, Inc.</w:t>
      </w:r>
    </w:p>
    <w:p>
      <w:pPr>
        <w:ind w:left="620" w:hanging="307"/>
        <w:spacing w:after="0" w:line="230" w:lineRule="exact"/>
        <w:tabs>
          <w:tab w:leader="none" w:pos="620" w:val="left"/>
        </w:tabs>
        <w:numPr>
          <w:ilvl w:val="0"/>
          <w:numId w:val="66"/>
        </w:numPr>
        <w:rPr>
          <w:rFonts w:ascii="Arial" w:cs="Arial" w:eastAsia="Arial" w:hAnsi="Arial"/>
          <w:sz w:val="20"/>
          <w:szCs w:val="20"/>
          <w:color w:val="auto"/>
        </w:rPr>
      </w:pPr>
      <w:r>
        <w:rPr>
          <w:rFonts w:ascii="Arial" w:cs="Arial" w:eastAsia="Arial" w:hAnsi="Arial"/>
          <w:sz w:val="15"/>
          <w:szCs w:val="15"/>
          <w:color w:val="auto"/>
        </w:rPr>
        <w:t>Registration Statement (Form S</w:t>
      </w:r>
      <w:r>
        <w:rPr>
          <w:rFonts w:ascii="MS PGothic" w:cs="MS PGothic" w:eastAsia="MS PGothic" w:hAnsi="MS PGothic"/>
          <w:sz w:val="15"/>
          <w:szCs w:val="15"/>
          <w:color w:val="auto"/>
        </w:rPr>
        <w:t>‑</w:t>
      </w:r>
      <w:r>
        <w:rPr>
          <w:rFonts w:ascii="Arial" w:cs="Arial" w:eastAsia="Arial" w:hAnsi="Arial"/>
          <w:sz w:val="15"/>
          <w:szCs w:val="15"/>
          <w:color w:val="auto"/>
        </w:rPr>
        <w:t>8 No. 333-243757) pertaining to the 2020 Employee Stock Purchase Plan, as amended, of Esperion Therapeutics, Inc.</w:t>
      </w:r>
    </w:p>
    <w:p>
      <w:pPr>
        <w:spacing w:after="0" w:line="9" w:lineRule="exact"/>
        <w:rPr>
          <w:rFonts w:ascii="Arial" w:cs="Arial" w:eastAsia="Arial" w:hAnsi="Arial"/>
          <w:sz w:val="20"/>
          <w:szCs w:val="20"/>
          <w:color w:val="auto"/>
        </w:rPr>
      </w:pPr>
    </w:p>
    <w:p>
      <w:pPr>
        <w:ind w:left="620" w:right="800" w:hanging="307"/>
        <w:spacing w:after="0" w:line="196" w:lineRule="exact"/>
        <w:tabs>
          <w:tab w:leader="none" w:pos="615"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333-236712) pertaining to the Amended and Restated 2013 Stock Option and Incentive Plan of Esperion Therapeutics, Inc. and the 2017 Inducement Equity Plan, as amended, of Esperion Therapeutics, Inc.</w:t>
      </w:r>
    </w:p>
    <w:p>
      <w:pPr>
        <w:spacing w:after="0" w:line="1" w:lineRule="exact"/>
        <w:rPr>
          <w:rFonts w:ascii="Arial" w:cs="Arial" w:eastAsia="Arial" w:hAnsi="Arial"/>
          <w:sz w:val="21"/>
          <w:szCs w:val="21"/>
          <w:color w:val="auto"/>
        </w:rPr>
      </w:pPr>
    </w:p>
    <w:p>
      <w:pPr>
        <w:ind w:left="620" w:right="800" w:hanging="307"/>
        <w:spacing w:after="0" w:line="200" w:lineRule="exact"/>
        <w:tabs>
          <w:tab w:leader="none" w:pos="615"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228994) pertaining to the Amended and Restated 2013 Stock Option and Incentive Plan of Esperion Therapeutics, Inc.</w:t>
      </w:r>
    </w:p>
    <w:p>
      <w:pPr>
        <w:spacing w:after="0" w:line="1" w:lineRule="exact"/>
        <w:rPr>
          <w:rFonts w:ascii="Arial" w:cs="Arial" w:eastAsia="Arial" w:hAnsi="Arial"/>
          <w:sz w:val="21"/>
          <w:szCs w:val="21"/>
          <w:color w:val="auto"/>
        </w:rPr>
      </w:pPr>
    </w:p>
    <w:p>
      <w:pPr>
        <w:ind w:left="620" w:right="800" w:hanging="307"/>
        <w:spacing w:after="0" w:line="207" w:lineRule="exact"/>
        <w:tabs>
          <w:tab w:leader="none" w:pos="615"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223105) pertaining to the Amended and Restated 2013 Stock Option and Incentive Plan of Esperion Therapeutics, Inc.</w:t>
      </w:r>
    </w:p>
    <w:p>
      <w:pPr>
        <w:ind w:left="620" w:hanging="307"/>
        <w:spacing w:after="0" w:line="240" w:lineRule="exact"/>
        <w:tabs>
          <w:tab w:leader="none" w:pos="620"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218084) pertaining to the 2017 Inducement Equity Plan of Esperion Therapeutics, Inc.</w:t>
      </w:r>
    </w:p>
    <w:p>
      <w:pPr>
        <w:ind w:left="620" w:right="800" w:hanging="307"/>
        <w:spacing w:after="0" w:line="196" w:lineRule="exact"/>
        <w:tabs>
          <w:tab w:leader="none" w:pos="615"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216169) pertaining to the Amended and Restated 2013 Stock Option and Incentive Plan of Esperion Therapeutics, Inc.</w:t>
      </w:r>
    </w:p>
    <w:p>
      <w:pPr>
        <w:spacing w:after="0" w:line="1" w:lineRule="exact"/>
        <w:rPr>
          <w:rFonts w:ascii="Arial" w:cs="Arial" w:eastAsia="Arial" w:hAnsi="Arial"/>
          <w:sz w:val="21"/>
          <w:szCs w:val="21"/>
          <w:color w:val="auto"/>
        </w:rPr>
      </w:pPr>
    </w:p>
    <w:p>
      <w:pPr>
        <w:ind w:left="620" w:right="800" w:hanging="307"/>
        <w:spacing w:after="0" w:line="200" w:lineRule="exact"/>
        <w:tabs>
          <w:tab w:leader="none" w:pos="615"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208702) pertaining to the Amended and Restated 2013 Stock Option and Incentive Plan of Esperion Therapeutics, Inc.</w:t>
      </w:r>
    </w:p>
    <w:p>
      <w:pPr>
        <w:spacing w:after="0" w:line="1" w:lineRule="exact"/>
        <w:rPr>
          <w:rFonts w:ascii="Arial" w:cs="Arial" w:eastAsia="Arial" w:hAnsi="Arial"/>
          <w:sz w:val="21"/>
          <w:szCs w:val="21"/>
          <w:color w:val="auto"/>
        </w:rPr>
      </w:pPr>
    </w:p>
    <w:p>
      <w:pPr>
        <w:ind w:left="620" w:right="800" w:hanging="307"/>
        <w:spacing w:after="0" w:line="207" w:lineRule="exact"/>
        <w:tabs>
          <w:tab w:leader="none" w:pos="615"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206180) pertaining to the Amended and Restated 2013 Stock Option and Incentive Plan of Esperion Therapeutics, Inc.</w:t>
      </w:r>
    </w:p>
    <w:p>
      <w:pPr>
        <w:ind w:left="620" w:hanging="307"/>
        <w:spacing w:after="0" w:line="240" w:lineRule="exact"/>
        <w:tabs>
          <w:tab w:leader="none" w:pos="620"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201378) pertaining to the 2013 Stock Option and Incentive Plan of Esperion Therapeutics, Inc.</w:t>
      </w:r>
    </w:p>
    <w:p>
      <w:pPr>
        <w:ind w:left="620" w:hanging="307"/>
        <w:spacing w:after="0" w:line="233" w:lineRule="exact"/>
        <w:tabs>
          <w:tab w:leader="none" w:pos="620" w:val="left"/>
        </w:tabs>
        <w:numPr>
          <w:ilvl w:val="0"/>
          <w:numId w:val="66"/>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194536) pertaining to the 2013 Stock Option and Incentive Plan of Esperion Therapeutics, Inc.</w:t>
      </w:r>
    </w:p>
    <w:p>
      <w:pPr>
        <w:spacing w:after="0" w:line="189" w:lineRule="exact"/>
        <w:rPr>
          <w:sz w:val="20"/>
          <w:szCs w:val="20"/>
          <w:color w:val="auto"/>
        </w:rPr>
      </w:pPr>
    </w:p>
    <w:p>
      <w:pPr>
        <w:ind w:right="200"/>
        <w:spacing w:after="0" w:line="334" w:lineRule="auto"/>
        <w:rPr>
          <w:sz w:val="20"/>
          <w:szCs w:val="20"/>
          <w:color w:val="auto"/>
        </w:rPr>
      </w:pPr>
      <w:r>
        <w:rPr>
          <w:rFonts w:ascii="Arial" w:cs="Arial" w:eastAsia="Arial" w:hAnsi="Arial"/>
          <w:sz w:val="14"/>
          <w:szCs w:val="14"/>
          <w:color w:val="auto"/>
        </w:rPr>
        <w:t>of our reports dated March 10, 2026, with respect to the financial statements of Esperion Therapeutics, Inc. and the effectiveness of internal control over financial reporting of Esperion Therapeutics, Inc. included in this Annual Report (Form 10-K) of Esperion Therapeutics, Inc. for the year ended December 31, 2025.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Detroit, Michigan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March 10, 2026</w:t>
      </w:r>
    </w:p>
    <w:p>
      <w:pPr>
        <w:sectPr>
          <w:pgSz w:w="11900" w:h="16838" w:orient="portrait"/>
          <w:cols w:equalWidth="0" w:num="1">
            <w:col w:w="11240"/>
          </w:cols>
          <w:pgMar w:left="320" w:top="578"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CERTIFICATIONS UNDER SECTION 302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Sheldon L. Koenig, certify that:</w:t>
      </w:r>
    </w:p>
    <w:p>
      <w:pPr>
        <w:spacing w:after="0" w:line="178" w:lineRule="exact"/>
        <w:rPr>
          <w:sz w:val="20"/>
          <w:szCs w:val="20"/>
          <w:color w:val="auto"/>
        </w:rPr>
      </w:pPr>
    </w:p>
    <w:p>
      <w:pPr>
        <w:ind w:left="620" w:hanging="307"/>
        <w:spacing w:after="0" w:line="196" w:lineRule="exact"/>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Esperion Therapeutics, Inc.;</w:t>
      </w:r>
    </w:p>
    <w:p>
      <w:pPr>
        <w:spacing w:after="0" w:line="258" w:lineRule="exact"/>
        <w:rPr>
          <w:rFonts w:ascii="Times New Roman" w:cs="Times New Roman" w:eastAsia="Times New Roman" w:hAnsi="Times New Roman"/>
          <w:sz w:val="17"/>
          <w:szCs w:val="17"/>
          <w:color w:val="auto"/>
        </w:rPr>
      </w:pPr>
    </w:p>
    <w:p>
      <w:pPr>
        <w:ind w:left="320" w:right="420" w:hanging="7"/>
        <w:spacing w:after="0" w:line="288" w:lineRule="auto"/>
        <w:tabs>
          <w:tab w:leader="none" w:pos="63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560" w:hanging="7"/>
        <w:spacing w:after="0" w:line="288" w:lineRule="auto"/>
        <w:tabs>
          <w:tab w:leader="none" w:pos="63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320" w:right="220" w:hanging="7"/>
        <w:spacing w:after="0" w:line="212" w:lineRule="exact"/>
        <w:tabs>
          <w:tab w:leader="none" w:pos="63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for the registrant and have:</w:t>
      </w:r>
    </w:p>
    <w:p>
      <w:pPr>
        <w:spacing w:after="0" w:line="191" w:lineRule="exact"/>
        <w:rPr>
          <w:rFonts w:ascii="Times New Roman" w:cs="Times New Roman" w:eastAsia="Times New Roman" w:hAnsi="Times New Roman"/>
          <w:sz w:val="17"/>
          <w:szCs w:val="17"/>
          <w:color w:val="auto"/>
        </w:rPr>
      </w:pPr>
    </w:p>
    <w:p>
      <w:pPr>
        <w:ind w:left="320" w:right="240" w:firstLine="614"/>
        <w:spacing w:after="0" w:line="270" w:lineRule="auto"/>
        <w:tabs>
          <w:tab w:leader="none" w:pos="1242"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ind w:left="320" w:right="20" w:firstLine="614"/>
        <w:spacing w:after="0" w:line="270" w:lineRule="auto"/>
        <w:tabs>
          <w:tab w:leader="none" w:pos="123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320" w:right="720" w:firstLine="614"/>
        <w:spacing w:after="0" w:line="288" w:lineRule="auto"/>
        <w:tabs>
          <w:tab w:leader="none" w:pos="1242"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70" w:lineRule="auto"/>
        <w:tabs>
          <w:tab w:leader="none" w:pos="123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320" w:right="300" w:hanging="7"/>
        <w:spacing w:after="0" w:line="288" w:lineRule="auto"/>
        <w:tabs>
          <w:tab w:leader="none" w:pos="63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88" w:lineRule="auto"/>
        <w:tabs>
          <w:tab w:leader="none" w:pos="1242"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320" w:right="100" w:firstLine="614"/>
        <w:spacing w:after="0" w:line="288" w:lineRule="auto"/>
        <w:tabs>
          <w:tab w:leader="none" w:pos="123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10, 2026</w:t>
      </w: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SHELDON 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17780</wp:posOffset>
            </wp:positionV>
            <wp:extent cx="35610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Sheldon L. Koenig</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56"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CERTIFICATIONS UNDER SECTION 302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Benjamin Halladay, certify that:</w:t>
      </w:r>
    </w:p>
    <w:p>
      <w:pPr>
        <w:spacing w:after="0" w:line="178" w:lineRule="exact"/>
        <w:rPr>
          <w:sz w:val="20"/>
          <w:szCs w:val="20"/>
          <w:color w:val="auto"/>
        </w:rPr>
      </w:pPr>
    </w:p>
    <w:p>
      <w:pPr>
        <w:ind w:left="620" w:hanging="307"/>
        <w:spacing w:after="0" w:line="196" w:lineRule="exact"/>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Esperion Therapeutics, Inc.;</w:t>
      </w:r>
    </w:p>
    <w:p>
      <w:pPr>
        <w:spacing w:after="0" w:line="258" w:lineRule="exact"/>
        <w:rPr>
          <w:rFonts w:ascii="Times New Roman" w:cs="Times New Roman" w:eastAsia="Times New Roman" w:hAnsi="Times New Roman"/>
          <w:sz w:val="17"/>
          <w:szCs w:val="17"/>
          <w:color w:val="auto"/>
        </w:rPr>
      </w:pPr>
    </w:p>
    <w:p>
      <w:pPr>
        <w:ind w:left="320" w:right="420" w:hanging="7"/>
        <w:spacing w:after="0" w:line="288" w:lineRule="auto"/>
        <w:tabs>
          <w:tab w:leader="none" w:pos="63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560" w:hanging="7"/>
        <w:spacing w:after="0" w:line="288" w:lineRule="auto"/>
        <w:tabs>
          <w:tab w:leader="none" w:pos="63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320" w:right="220" w:hanging="7"/>
        <w:spacing w:after="0" w:line="212" w:lineRule="exact"/>
        <w:tabs>
          <w:tab w:leader="none" w:pos="63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for the registrant and have:</w:t>
      </w:r>
    </w:p>
    <w:p>
      <w:pPr>
        <w:spacing w:after="0" w:line="191" w:lineRule="exact"/>
        <w:rPr>
          <w:rFonts w:ascii="Times New Roman" w:cs="Times New Roman" w:eastAsia="Times New Roman" w:hAnsi="Times New Roman"/>
          <w:sz w:val="17"/>
          <w:szCs w:val="17"/>
          <w:color w:val="auto"/>
        </w:rPr>
      </w:pPr>
    </w:p>
    <w:p>
      <w:pPr>
        <w:ind w:left="320" w:right="240" w:firstLine="614"/>
        <w:spacing w:after="0" w:line="270" w:lineRule="auto"/>
        <w:tabs>
          <w:tab w:leader="none" w:pos="1242"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ind w:left="320" w:right="20" w:firstLine="614"/>
        <w:spacing w:after="0" w:line="270" w:lineRule="auto"/>
        <w:tabs>
          <w:tab w:leader="none" w:pos="1239"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320" w:right="720" w:firstLine="614"/>
        <w:spacing w:after="0" w:line="288" w:lineRule="auto"/>
        <w:tabs>
          <w:tab w:leader="none" w:pos="1242"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70" w:lineRule="auto"/>
        <w:tabs>
          <w:tab w:leader="none" w:pos="1239"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320" w:right="300" w:hanging="7"/>
        <w:spacing w:after="0" w:line="288" w:lineRule="auto"/>
        <w:tabs>
          <w:tab w:leader="none" w:pos="63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88" w:lineRule="auto"/>
        <w:tabs>
          <w:tab w:leader="none" w:pos="1242"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320" w:right="100" w:firstLine="614"/>
        <w:spacing w:after="0" w:line="288" w:lineRule="auto"/>
        <w:tabs>
          <w:tab w:leader="none" w:pos="1239"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10, 2026</w:t>
      </w: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17780</wp:posOffset>
            </wp:positionV>
            <wp:extent cx="36429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Benjamin Halladay</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(Principal Financial Officer and</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p>
      <w:pPr>
        <w:sectPr>
          <w:pgSz w:w="11900" w:h="16838" w:orient="portrait"/>
          <w:cols w:equalWidth="0" w:num="1">
            <w:col w:w="11240"/>
          </w:cols>
          <w:pgMar w:left="320" w:top="856"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CERTIFICATIONS UNDER SECTION 906</w:t>
      </w:r>
    </w:p>
    <w:p>
      <w:pPr>
        <w:spacing w:after="0" w:line="182" w:lineRule="exact"/>
        <w:rPr>
          <w:sz w:val="20"/>
          <w:szCs w:val="20"/>
          <w:color w:val="auto"/>
        </w:rPr>
      </w:pPr>
    </w:p>
    <w:p>
      <w:pPr>
        <w:jc w:val="both"/>
        <w:ind w:right="200" w:firstLine="620"/>
        <w:spacing w:after="0" w:line="235" w:lineRule="exact"/>
        <w:rPr>
          <w:sz w:val="20"/>
          <w:szCs w:val="20"/>
          <w:color w:val="auto"/>
        </w:rPr>
      </w:pPr>
      <w:r>
        <w:rPr>
          <w:rFonts w:ascii="Times New Roman" w:cs="Times New Roman" w:eastAsia="Times New Roman" w:hAnsi="Times New Roman"/>
          <w:sz w:val="17"/>
          <w:szCs w:val="17"/>
          <w:color w:val="auto"/>
        </w:rPr>
        <w:t>Pursuant to section 906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(subsections (a) and (b) of section 1350, chapter 63 of title 18, United States Code), each of the undersigned officers of Esperion Therapeutics, Inc., a Delaware corporation (the “Company”), does hereby certify, to such officer’s knowledge, that:</w:t>
      </w:r>
    </w:p>
    <w:p>
      <w:pPr>
        <w:spacing w:after="0" w:line="151" w:lineRule="exact"/>
        <w:rPr>
          <w:sz w:val="20"/>
          <w:szCs w:val="20"/>
          <w:color w:val="auto"/>
        </w:rPr>
      </w:pPr>
    </w:p>
    <w:p>
      <w:pPr>
        <w:jc w:val="both"/>
        <w:ind w:right="180" w:firstLine="620"/>
        <w:spacing w:after="0" w:line="226" w:lineRule="exact"/>
        <w:rPr>
          <w:sz w:val="20"/>
          <w:szCs w:val="20"/>
          <w:color w:val="auto"/>
        </w:rPr>
      </w:pPr>
      <w:r>
        <w:rPr>
          <w:rFonts w:ascii="Times New Roman" w:cs="Times New Roman" w:eastAsia="Times New Roman" w:hAnsi="Times New Roman"/>
          <w:sz w:val="17"/>
          <w:szCs w:val="17"/>
          <w:color w:val="auto"/>
        </w:rPr>
        <w:t>The Annual Report for the year ended December 31, 2025 (the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the Company fully complies with the requirements of Section 13(a) or 15(d) of the Securities Exchange Act of 1934, as amended, and the information contained in the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Dated:   March 10, 2026</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SHELDON L. KOENIG</w:t>
            </w:r>
          </w:p>
        </w:tc>
      </w:tr>
      <w:tr>
        <w:trPr>
          <w:trHeight w:val="205"/>
        </w:trPr>
        <w:tc>
          <w:tcPr>
            <w:tcW w:w="5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Sheldon L. Koenig</w:t>
            </w:r>
          </w:p>
        </w:tc>
      </w:tr>
      <w:tr>
        <w:trPr>
          <w:trHeight w:val="220"/>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27"/>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78"/>
        </w:trPr>
        <w:tc>
          <w:tcPr>
            <w:tcW w:w="56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BENJAMIN HALLADAY</w:t>
            </w:r>
          </w:p>
        </w:tc>
      </w:tr>
      <w:tr>
        <w:trPr>
          <w:trHeight w:val="205"/>
        </w:trPr>
        <w:tc>
          <w:tcPr>
            <w:tcW w:w="5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Benjamin Halladay</w:t>
            </w:r>
          </w:p>
        </w:tc>
      </w:tr>
      <w:tr>
        <w:trPr>
          <w:trHeight w:val="220"/>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r>
        <w:trPr>
          <w:trHeight w:val="220"/>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 and</w:t>
            </w:r>
          </w:p>
        </w:tc>
      </w:tr>
      <w:tr>
        <w:trPr>
          <w:trHeight w:val="227"/>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endash "/>
      <w:numFmt w:val="bullet"/>
      <w:start w:val="1"/>
    </w:lvl>
    <w:lvl w:ilvl="1">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lowerRoman"/>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lowerLetter"/>
      <w:start w:val="2"/>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emdash "/>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1)"/>
      <w:numFmt w:val="decimal"/>
      <w:start w:val="3"/>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2"/>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decimal"/>
      <w:start w:val="3"/>
    </w:lvl>
  </w:abstractNum>
  <w:abstractNum w:abstractNumId="56">
    <w:nsid w:val="7E0C57B1"/>
    <w:multiLevelType w:val="hybridMultilevel"/>
    <w:lvl w:ilvl="0">
      <w:lvlJc w:val="left"/>
      <w:lvlText w:val="%1."/>
      <w:numFmt w:val="decimal"/>
      <w:start w:val="5"/>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3"/>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6" Type="http://schemas.openxmlformats.org/officeDocument/2006/relationships/image" Target="media/image121.png"/><Relationship Id="rId169"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128" Type="http://schemas.openxmlformats.org/officeDocument/2006/relationships/hyperlink" Target="https://www.sec.gov/Archives/edgar/data/1434868/000104746913006896/a2215641zex-3_2.htm" TargetMode="External"/><Relationship Id="rId129" Type="http://schemas.openxmlformats.org/officeDocument/2006/relationships/hyperlink" Target="https://www.sec.gov/Archives/edgar/data/1434868/000162828022015488/exhibit31.htm" TargetMode="External"/><Relationship Id="rId130" Type="http://schemas.openxmlformats.org/officeDocument/2006/relationships/hyperlink" Target="https://www.sec.gov/Archives/edgar/data/1434868/000162828023022276/exhibit3162023.htm" TargetMode="External"/><Relationship Id="rId131" Type="http://schemas.openxmlformats.org/officeDocument/2006/relationships/hyperlink" Target="https://www.sec.gov/Archives/edgar/data/1434868/000162828022025245/exhibit31certificateofvali.htm" TargetMode="External"/><Relationship Id="rId132" Type="http://schemas.openxmlformats.org/officeDocument/2006/relationships/hyperlink" Target="https://www.sec.gov/Archives/edgar/data/1434868/000162828021008918/ex31-secondamendedandresta.htm" TargetMode="External"/><Relationship Id="rId133" Type="http://schemas.openxmlformats.org/officeDocument/2006/relationships/hyperlink" Target="https://www.sec.gov/Archives/edgar/data/1434868/000104746913006896/a2215641zex-4_1.htm" TargetMode="External"/><Relationship Id="rId134" Type="http://schemas.openxmlformats.org/officeDocument/2006/relationships/hyperlink" Target="https://www.sec.gov/Archives/edgar/data/1434868/000104746913006083/a2214660zex-4_4.htm" TargetMode="External"/><Relationship Id="rId135" Type="http://schemas.openxmlformats.org/officeDocument/2006/relationships/hyperlink" Target="https://www.sec.gov/Archives/edgar/data/1434868/000104746913006083/a2214660zex-4_5.htm" TargetMode="External"/><Relationship Id="rId136" Type="http://schemas.openxmlformats.org/officeDocument/2006/relationships/hyperlink" Target="https://www.sec.gov/Archives/edgar/data/1434868/000162828024007066/exhibit44.htm" TargetMode="External"/><Relationship Id="rId137" Type="http://schemas.openxmlformats.org/officeDocument/2006/relationships/hyperlink" Target="https://www.sec.gov/Archives/edgar/data/1434868/000110465920125920/tm2036069d1_ex4-1.htm" TargetMode="External"/><Relationship Id="rId138" Type="http://schemas.openxmlformats.org/officeDocument/2006/relationships/hyperlink" Target="https://www.sec.gov/Archives/edgar/data/1434868/000104746913006083/a2214660zex-4_3.htm" TargetMode="External"/><Relationship Id="rId139" Type="http://schemas.openxmlformats.org/officeDocument/2006/relationships/hyperlink" Target="https://www.sec.gov/Archives/edgar/data/1434868/000110465923035634/tm2310183d1_ex10-2.htm" TargetMode="External"/><Relationship Id="rId140" Type="http://schemas.openxmlformats.org/officeDocument/2006/relationships/hyperlink" Target="https://www.sec.gov/Archives/edgar/data/1434868/000110465923035634/tm2310183d1_ex10-1.htm" TargetMode="External"/><Relationship Id="rId141" Type="http://schemas.openxmlformats.org/officeDocument/2006/relationships/hyperlink" Target="https://www.sec.gov/Archives/edgar/data/1434868/000110465924129592/tm2430949d2_ex4-1.htm" TargetMode="External"/><Relationship Id="rId142" Type="http://schemas.openxmlformats.org/officeDocument/2006/relationships/hyperlink" Target="https://www.sec.gov/Archives/edgar/data/1434868/000162828025023498/firstsupplementalindentu.htm" TargetMode="External"/><Relationship Id="rId143" Type="http://schemas.openxmlformats.org/officeDocument/2006/relationships/hyperlink" Target="https://www.sec.gov/Archives/edgar/data/1434868/000104746913006083/a2214660zex-10_7.htm" TargetMode="External"/><Relationship Id="rId144" Type="http://schemas.openxmlformats.org/officeDocument/2006/relationships/hyperlink" Target="https://www.sec.gov/Archives/edgar/data/1434868/000110465914007554/a14-5116_1ex10d1.htm" TargetMode="External"/><Relationship Id="rId145" Type="http://schemas.openxmlformats.org/officeDocument/2006/relationships/hyperlink" Target="https://www.sec.gov/Archives/edgar/data/1434868/000104746913006083/a2214660zex-10_8.htm" TargetMode="External"/><Relationship Id="rId147" Type="http://schemas.openxmlformats.org/officeDocument/2006/relationships/hyperlink" Target="https://www.sec.gov/Archives/edgar/data/1434868/000104746913006083/a2214660zex-10_9.htm" TargetMode="External"/><Relationship Id="rId148" Type="http://schemas.openxmlformats.org/officeDocument/2006/relationships/hyperlink" Target="https://www.sec.gov/Archives/edgar/data/1434868/000110465916154591/a16-17205_1ex10d1.htm" TargetMode="External"/><Relationship Id="rId149" Type="http://schemas.openxmlformats.org/officeDocument/2006/relationships/hyperlink" Target="https://www.sec.gov/Archives/edgar/data/1434868/000110465917033789/a17-13191_1ex99d1.htm" TargetMode="External"/><Relationship Id="rId150" Type="http://schemas.openxmlformats.org/officeDocument/2006/relationships/hyperlink" Target="https://www.sec.gov/Archives/edgar/data/1434868/000110465918049208/a18-14080_1ex10d1.htm" TargetMode="External"/><Relationship Id="rId151" Type="http://schemas.openxmlformats.org/officeDocument/2006/relationships/hyperlink" Target="https://www.sec.gov/Archives/edgar/data/1434868/000104746919000791/a2237755zex-10_16.htm" TargetMode="External"/><Relationship Id="rId152" Type="http://schemas.openxmlformats.org/officeDocument/2006/relationships/hyperlink" Target="https://www.sec.gov/Archives/edgar/data/1434868/000110465920026203/ex-10d16.htm" TargetMode="External"/><Relationship Id="rId153" Type="http://schemas.openxmlformats.org/officeDocument/2006/relationships/hyperlink" Target="https://www.sec.gov/Archives/edgar/data/1434868/000162828024025418/exhibit102.htm" TargetMode="External"/><Relationship Id="rId154" Type="http://schemas.openxmlformats.org/officeDocument/2006/relationships/hyperlink" Target="https://www.sec.gov/Archives/edgar/data/1434868/000110465920092840/espr-20200630xex10d2.htm" TargetMode="External"/><Relationship Id="rId155" Type="http://schemas.openxmlformats.org/officeDocument/2006/relationships/hyperlink" Target="https://www.sec.gov/Archives/edgar/data/1434868/000110465920092840/espr-20200630xex10d3.htm" TargetMode="External"/><Relationship Id="rId156" Type="http://schemas.openxmlformats.org/officeDocument/2006/relationships/hyperlink" Target="https://www.sec.gov/Archives/edgar/data/0001434868/000110465921129227/tm2130916d1_ex10-1.htm" TargetMode="External"/><Relationship Id="rId157" Type="http://schemas.openxmlformats.org/officeDocument/2006/relationships/hyperlink" Target="https://www.sec.gov/Archives/edgar/data/1434868/000162828021015248/ex101-licenseandcollaborat.htm" TargetMode="External"/><Relationship Id="rId158" Type="http://schemas.openxmlformats.org/officeDocument/2006/relationships/hyperlink" Target="https://www.sec.gov/Archives/edgar/data/1434868/000162828021008918/ex1012ndamendmentdseagreem.htm" TargetMode="External"/><Relationship Id="rId159" Type="http://schemas.openxmlformats.org/officeDocument/2006/relationships/hyperlink" Target="https://www.sec.gov/Archives/edgar/data/0001434868/000162828021008918/ex1012ndamendmentdseagreem.htm" TargetMode="External"/><Relationship Id="rId160" Type="http://schemas.openxmlformats.org/officeDocument/2006/relationships/hyperlink" Target="https://www.sec.gov/Archives/edgar/data/1434868/000162828025028820/exhibit1011.htm" TargetMode="External"/><Relationship Id="rId161" Type="http://schemas.openxmlformats.org/officeDocument/2006/relationships/hyperlink" Target="https://www.sec.gov/Archives/edgar/data/1434868/000110465922119533/tm2230242d1_ex10-1.htm" TargetMode="External"/><Relationship Id="rId162" Type="http://schemas.openxmlformats.org/officeDocument/2006/relationships/hyperlink" Target="https://www.sec.gov/Archives/edgar/data/1434868/000162828022016957/a101koenigemploymentagreem.htm" TargetMode="External"/><Relationship Id="rId163" Type="http://schemas.openxmlformats.org/officeDocument/2006/relationships/hyperlink" Target="https://www.sec.gov/Archives/edgar/data/1434868/000162828022016957/a104lookeremploymentagreem.htm" TargetMode="External"/><Relationship Id="rId164" Type="http://schemas.openxmlformats.org/officeDocument/2006/relationships/hyperlink" Target="https://www.sec.gov/Archives/edgar/data/1434868/000162828025048557/exhibit101harlowesperionex.htm" TargetMode="External"/><Relationship Id="rId165" Type="http://schemas.openxmlformats.org/officeDocument/2006/relationships/hyperlink" Target="https://www.sec.gov/Archives/edgar/data/1434868/000162828023030469/exhibit993.htm" TargetMode="External"/><Relationship Id="rId166" Type="http://schemas.openxmlformats.org/officeDocument/2006/relationships/hyperlink" Target="https://www.sec.gov/Archives/edgar/data/1434868/000162828024036762/exhibit101royaltysaleagree.htm" TargetMode="External"/><Relationship Id="rId167" Type="http://schemas.openxmlformats.org/officeDocument/2006/relationships/hyperlink" Target="https://www.sec.gov/Archives/edgar/data/1434868/000162828024020862/exhibit101settlementagreem.htm" TargetMode="External"/><Relationship Id="rId168" Type="http://schemas.openxmlformats.org/officeDocument/2006/relationships/hyperlink" Target="https://www.sec.gov/Archives/edgar/data/1434868/000162828024020862/a1023rdamendmentdse.htm" TargetMode="External"/><Relationship Id="rId170" Type="http://schemas.openxmlformats.org/officeDocument/2006/relationships/hyperlink" Target="https://www.sec.gov/Archives/edgar/data/1434868/000162828024020862/a103ds1stamendment.htm" TargetMode="External"/><Relationship Id="rId171" Type="http://schemas.openxmlformats.org/officeDocument/2006/relationships/hyperlink" Target="https://www.sec.gov/Archives/edgar/data/1434868/000110465924128212/tm2430949d1_ex10-1.htm" TargetMode="External"/><Relationship Id="rId172" Type="http://schemas.openxmlformats.org/officeDocument/2006/relationships/hyperlink" Target="https://www.sec.gov/Archives/edgar/data/1434868/000162828026013552/exhibit21.htm" TargetMode="External"/><Relationship Id="rId173" Type="http://schemas.openxmlformats.org/officeDocument/2006/relationships/hyperlink" Target="https://www.sec.gov/Archives/edgar/data/1434868/000162828025011154/ex-191insidertradingpolicy.htm" TargetMode="External"/><Relationship Id="rId174" Type="http://schemas.openxmlformats.org/officeDocument/2006/relationships/hyperlink" Target="https://www.sec.gov/Archives/edgar/data/1434868/000104746913006083/a2214660zex-21_1.htm" TargetMode="External"/><Relationship Id="rId175" Type="http://schemas.openxmlformats.org/officeDocument/2006/relationships/hyperlink" Target="https://www.sec.gov/Archives/edgar/data/1434868/000162828024007066/a971compensationrecovery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2026-03-10T16:16:35Z</dcterms:created>
  <dcterms:modified xsi:type="dcterms:W3CDTF">2026-03-10T16:16:35Z</dcterms:modified>
</cp:coreProperties>
</file>