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9"/>
          <w:szCs w:val="19"/>
          <w:b w:val="1"/>
          <w:bCs w:val="1"/>
          <w:color w:val="auto"/>
        </w:rPr>
        <w:t>SECURITIES AND EXCHANGE COMMISSION</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62"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SCHEDULE 13D</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(Rule 13d-101)</w:t>
      </w:r>
    </w:p>
    <w:p>
      <w:pPr>
        <w:spacing w:after="0" w:line="165"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INFORMATION TO BE INCLUDED IN STATEMENTS FILED PURSUANT TO 13d-1(a) AND</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AMENDMENTS THERETO FILED PURSUANT TO 13d-2(a)</w:t>
      </w:r>
    </w:p>
    <w:p>
      <w:pPr>
        <w:spacing w:after="0" w:line="200" w:lineRule="exact"/>
        <w:rPr>
          <w:sz w:val="24"/>
          <w:szCs w:val="24"/>
          <w:color w:val="auto"/>
        </w:rPr>
      </w:pPr>
    </w:p>
    <w:p>
      <w:pPr>
        <w:spacing w:after="0" w:line="397"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u w:val="single" w:color="auto"/>
          <w:color w:val="auto"/>
        </w:rPr>
        <w:t>Esperion Therapeutics, Inc.</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color w:val="auto"/>
        </w:rPr>
        <w:t>(Name of Issuer)</w:t>
      </w:r>
    </w:p>
    <w:p>
      <w:pPr>
        <w:spacing w:after="0" w:line="165"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u w:val="single" w:color="auto"/>
          <w:color w:val="auto"/>
        </w:rPr>
        <w:t>Common Stock, par value $0.001 per share</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color w:val="auto"/>
        </w:rPr>
        <w:t>(Title of Class of Securities)</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9"/>
          <w:szCs w:val="19"/>
          <w:u w:val="single" w:color="auto"/>
          <w:color w:val="auto"/>
        </w:rPr>
        <w:t>16934W106</w:t>
      </w:r>
    </w:p>
    <w:p>
      <w:pPr>
        <w:spacing w:after="0" w:line="14" w:lineRule="exact"/>
        <w:rPr>
          <w:sz w:val="24"/>
          <w:szCs w:val="24"/>
          <w:color w:val="auto"/>
        </w:rPr>
      </w:pPr>
    </w:p>
    <w:p>
      <w:pPr>
        <w:jc w:val="center"/>
        <w:ind w:right="2099"/>
        <w:spacing w:after="0"/>
        <w:rPr>
          <w:sz w:val="20"/>
          <w:szCs w:val="20"/>
          <w:color w:val="auto"/>
        </w:rPr>
      </w:pPr>
      <w:r>
        <w:rPr>
          <w:rFonts w:ascii="Arial" w:cs="Arial" w:eastAsia="Arial" w:hAnsi="Arial"/>
          <w:sz w:val="19"/>
          <w:szCs w:val="19"/>
          <w:color w:val="auto"/>
        </w:rPr>
        <w:t>(CUSIP Number)</w:t>
      </w:r>
    </w:p>
    <w:p>
      <w:pPr>
        <w:spacing w:after="0" w:line="165"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Hilary Strain</w:t>
      </w:r>
    </w:p>
    <w:p>
      <w:pPr>
        <w:spacing w:after="0" w:line="17"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color w:val="auto"/>
        </w:rPr>
        <w:t>Alta Partners</w:t>
      </w:r>
    </w:p>
    <w:p>
      <w:pPr>
        <w:jc w:val="center"/>
        <w:ind w:right="2099"/>
        <w:spacing w:after="0" w:line="237" w:lineRule="auto"/>
        <w:rPr>
          <w:sz w:val="20"/>
          <w:szCs w:val="20"/>
          <w:color w:val="auto"/>
        </w:rPr>
      </w:pPr>
      <w:r>
        <w:rPr>
          <w:rFonts w:ascii="Arial" w:cs="Arial" w:eastAsia="Arial" w:hAnsi="Arial"/>
          <w:sz w:val="19"/>
          <w:szCs w:val="19"/>
          <w:b w:val="1"/>
          <w:bCs w:val="1"/>
          <w:color w:val="auto"/>
        </w:rPr>
        <w:t>One Embarcadero Center, Suite 3700</w:t>
      </w:r>
    </w:p>
    <w:p>
      <w:pPr>
        <w:jc w:val="center"/>
        <w:ind w:right="2099"/>
        <w:spacing w:after="0" w:line="237" w:lineRule="auto"/>
        <w:rPr>
          <w:sz w:val="20"/>
          <w:szCs w:val="20"/>
          <w:color w:val="auto"/>
        </w:rPr>
      </w:pPr>
      <w:r>
        <w:rPr>
          <w:rFonts w:ascii="Arial" w:cs="Arial" w:eastAsia="Arial" w:hAnsi="Arial"/>
          <w:sz w:val="19"/>
          <w:szCs w:val="19"/>
          <w:b w:val="1"/>
          <w:bCs w:val="1"/>
          <w:color w:val="auto"/>
        </w:rPr>
        <w:t>San Francisco, CA 94111</w:t>
      </w:r>
    </w:p>
    <w:p>
      <w:pPr>
        <w:jc w:val="center"/>
        <w:ind w:right="2099"/>
        <w:spacing w:after="0" w:line="238" w:lineRule="auto"/>
        <w:rPr>
          <w:sz w:val="20"/>
          <w:szCs w:val="20"/>
          <w:color w:val="auto"/>
        </w:rPr>
      </w:pPr>
      <w:r>
        <w:rPr>
          <w:rFonts w:ascii="Arial" w:cs="Arial" w:eastAsia="Arial" w:hAnsi="Arial"/>
          <w:sz w:val="19"/>
          <w:szCs w:val="19"/>
          <w:b w:val="1"/>
          <w:bCs w:val="1"/>
          <w:u w:val="single" w:color="auto"/>
          <w:color w:val="auto"/>
        </w:rPr>
        <w:t>(415) 362-4022</w:t>
      </w:r>
    </w:p>
    <w:p>
      <w:pPr>
        <w:jc w:val="center"/>
        <w:ind w:right="2099"/>
        <w:spacing w:after="0" w:line="237" w:lineRule="auto"/>
        <w:rPr>
          <w:sz w:val="20"/>
          <w:szCs w:val="20"/>
          <w:color w:val="auto"/>
        </w:rPr>
      </w:pPr>
      <w:r>
        <w:rPr>
          <w:rFonts w:ascii="Arial" w:cs="Arial" w:eastAsia="Arial" w:hAnsi="Arial"/>
          <w:sz w:val="19"/>
          <w:szCs w:val="19"/>
          <w:color w:val="auto"/>
        </w:rPr>
        <w:t>(Name, Address and Telephone Number of Person Authorized to</w:t>
      </w:r>
    </w:p>
    <w:p>
      <w:pPr>
        <w:jc w:val="center"/>
        <w:ind w:right="2099"/>
        <w:spacing w:after="0"/>
        <w:rPr>
          <w:sz w:val="20"/>
          <w:szCs w:val="20"/>
          <w:color w:val="auto"/>
        </w:rPr>
      </w:pPr>
      <w:r>
        <w:rPr>
          <w:rFonts w:ascii="Arial" w:cs="Arial" w:eastAsia="Arial" w:hAnsi="Arial"/>
          <w:sz w:val="19"/>
          <w:szCs w:val="19"/>
          <w:color w:val="auto"/>
        </w:rPr>
        <w:t>Receive Notices and Communications)</w:t>
      </w:r>
    </w:p>
    <w:p>
      <w:pPr>
        <w:spacing w:after="0" w:line="165" w:lineRule="exact"/>
        <w:rPr>
          <w:sz w:val="24"/>
          <w:szCs w:val="24"/>
          <w:color w:val="auto"/>
        </w:rPr>
      </w:pPr>
    </w:p>
    <w:p>
      <w:pPr>
        <w:jc w:val="center"/>
        <w:ind w:right="2099"/>
        <w:spacing w:after="0"/>
        <w:rPr>
          <w:sz w:val="20"/>
          <w:szCs w:val="20"/>
          <w:color w:val="auto"/>
        </w:rPr>
      </w:pPr>
      <w:r>
        <w:rPr>
          <w:rFonts w:ascii="Arial" w:cs="Arial" w:eastAsia="Arial" w:hAnsi="Arial"/>
          <w:sz w:val="19"/>
          <w:szCs w:val="19"/>
          <w:b w:val="1"/>
          <w:bCs w:val="1"/>
          <w:u w:val="single" w:color="auto"/>
          <w:color w:val="auto"/>
        </w:rPr>
        <w:t>July 1, 2013</w:t>
      </w:r>
    </w:p>
    <w:p>
      <w:pPr>
        <w:spacing w:after="0" w:line="20" w:lineRule="exact"/>
        <w:rPr>
          <w:sz w:val="24"/>
          <w:szCs w:val="24"/>
          <w:color w:val="auto"/>
        </w:rPr>
      </w:pPr>
    </w:p>
    <w:p>
      <w:pPr>
        <w:jc w:val="center"/>
        <w:ind w:right="2099"/>
        <w:spacing w:after="0"/>
        <w:rPr>
          <w:sz w:val="20"/>
          <w:szCs w:val="20"/>
          <w:color w:val="auto"/>
        </w:rPr>
      </w:pPr>
      <w:r>
        <w:rPr>
          <w:rFonts w:ascii="Arial" w:cs="Arial" w:eastAsia="Arial" w:hAnsi="Arial"/>
          <w:sz w:val="19"/>
          <w:szCs w:val="19"/>
          <w:color w:val="auto"/>
        </w:rPr>
        <w:t>(Date of Event which Requires Filing of this Statement)</w:t>
      </w:r>
    </w:p>
    <w:p>
      <w:pPr>
        <w:spacing w:after="0" w:line="171" w:lineRule="exact"/>
        <w:rPr>
          <w:sz w:val="24"/>
          <w:szCs w:val="24"/>
          <w:color w:val="auto"/>
        </w:rPr>
      </w:pPr>
    </w:p>
    <w:p>
      <w:pPr>
        <w:jc w:val="both"/>
        <w:ind w:right="2119"/>
        <w:spacing w:after="0" w:line="249"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o</w:t>
      </w:r>
    </w:p>
    <w:p>
      <w:pPr>
        <w:spacing w:after="0" w:line="200" w:lineRule="exact"/>
        <w:rPr>
          <w:sz w:val="24"/>
          <w:szCs w:val="24"/>
          <w:color w:val="auto"/>
        </w:rPr>
      </w:pPr>
    </w:p>
    <w:p>
      <w:pPr>
        <w:spacing w:after="0" w:line="389" w:lineRule="exact"/>
        <w:rPr>
          <w:sz w:val="24"/>
          <w:szCs w:val="24"/>
          <w:color w:val="auto"/>
        </w:rPr>
      </w:pPr>
    </w:p>
    <w:p>
      <w:pPr>
        <w:jc w:val="both"/>
        <w:ind w:right="2099"/>
        <w:spacing w:after="0" w:line="249"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1" w:lineRule="exact"/>
        <w:rPr>
          <w:sz w:val="24"/>
          <w:szCs w:val="24"/>
          <w:color w:val="auto"/>
        </w:rPr>
      </w:pPr>
    </w:p>
    <w:p>
      <w:pPr>
        <w:jc w:val="both"/>
        <w:ind w:right="2119"/>
        <w:spacing w:after="0" w:line="292"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w:t>
      </w:r>
      <w:r>
        <w:rPr>
          <w:rFonts w:ascii="Arial" w:cs="Arial" w:eastAsia="Arial" w:hAnsi="Arial"/>
          <w:sz w:val="17"/>
          <w:szCs w:val="17"/>
          <w:i w:val="1"/>
          <w:iCs w:val="1"/>
          <w:color w:val="auto"/>
        </w:rPr>
        <w:t>Act”</w:t>
      </w:r>
      <w:r>
        <w:rPr>
          <w:rFonts w:ascii="Arial" w:cs="Arial" w:eastAsia="Arial" w:hAnsi="Arial"/>
          <w:sz w:val="17"/>
          <w:szCs w:val="17"/>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5145405"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705" w:right="1440" w:bottom="1440" w:gutter="0" w:footer="0" w:header="0"/>
        </w:sectPr>
      </w:pPr>
    </w:p>
    <w:bookmarkStart w:id="1" w:name="page2"/>
    <w:bookmarkEnd w:id="1"/>
    <w:p>
      <w:pPr>
        <w:ind w:left="70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hanging="517"/>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257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Alta Partners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257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640" w:val="left"/>
          <w:tab w:leader="none" w:pos="710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Check The Appropriate Box If A Member Of A Group</w:t>
      </w:r>
      <w:r>
        <w:rPr>
          <w:sz w:val="20"/>
          <w:szCs w:val="20"/>
          <w:color w:val="auto"/>
        </w:rPr>
        <w:tab/>
      </w:r>
      <w:r>
        <w:rPr>
          <w:rFonts w:ascii="Arial" w:cs="Arial" w:eastAsia="Arial" w:hAnsi="Arial"/>
          <w:sz w:val="16"/>
          <w:szCs w:val="16"/>
          <w:color w:val="auto"/>
        </w:rPr>
        <w:t>(a)</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 X</w:t>
      </w:r>
    </w:p>
    <w:p>
      <w:pPr>
        <w:spacing w:after="0" w:line="211" w:lineRule="exact"/>
        <w:rPr>
          <w:sz w:val="20"/>
          <w:szCs w:val="20"/>
          <w:color w:val="auto"/>
        </w:rPr>
      </w:pPr>
    </w:p>
    <w:p>
      <w:pPr>
        <w:ind w:left="620" w:hanging="51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5257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25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257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w:t>
      </w:r>
    </w:p>
    <w:p>
      <w:pPr>
        <w:spacing w:after="0" w:line="227" w:lineRule="exact"/>
        <w:rPr>
          <w:rFonts w:ascii="Arial" w:cs="Arial" w:eastAsia="Arial" w:hAnsi="Arial"/>
          <w:sz w:val="18"/>
          <w:szCs w:val="18"/>
          <w:color w:val="auto"/>
        </w:rPr>
      </w:pPr>
    </w:p>
    <w:p>
      <w:pPr>
        <w:ind w:left="620" w:hanging="517"/>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257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257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Number Of Shares</w:t>
            </w:r>
          </w:p>
        </w:tc>
        <w:tc>
          <w:tcPr>
            <w:tcW w:w="1980" w:type="dxa"/>
            <w:vAlign w:val="bottom"/>
          </w:tcPr>
          <w:p>
            <w:pPr>
              <w:ind w:left="1500"/>
              <w:spacing w:after="0"/>
              <w:rPr>
                <w:sz w:val="20"/>
                <w:szCs w:val="20"/>
                <w:color w:val="auto"/>
              </w:rPr>
            </w:pPr>
            <w:r>
              <w:rPr>
                <w:rFonts w:ascii="Arial" w:cs="Arial" w:eastAsia="Arial" w:hAnsi="Arial"/>
                <w:sz w:val="19"/>
                <w:szCs w:val="19"/>
                <w:color w:val="auto"/>
              </w:rPr>
              <w:t>(7)</w:t>
            </w:r>
          </w:p>
        </w:tc>
        <w:tc>
          <w:tcPr>
            <w:tcW w:w="1940" w:type="dxa"/>
            <w:vAlign w:val="bottom"/>
          </w:tcPr>
          <w:p>
            <w:pPr>
              <w:ind w:left="140"/>
              <w:spacing w:after="0"/>
              <w:rPr>
                <w:sz w:val="20"/>
                <w:szCs w:val="20"/>
                <w:color w:val="auto"/>
              </w:rPr>
            </w:pPr>
            <w:r>
              <w:rPr>
                <w:rFonts w:ascii="Arial" w:cs="Arial" w:eastAsia="Arial" w:hAnsi="Arial"/>
                <w:sz w:val="19"/>
                <w:szCs w:val="19"/>
                <w:color w:val="auto"/>
              </w:rPr>
              <w:t>Sole Voting Power</w:t>
            </w:r>
          </w:p>
        </w:tc>
        <w:tc>
          <w:tcPr>
            <w:tcW w:w="1100" w:type="dxa"/>
            <w:vAlign w:val="bottom"/>
          </w:tcPr>
          <w:p>
            <w:pPr>
              <w:jc w:val="center"/>
              <w:spacing w:after="0"/>
              <w:rPr>
                <w:sz w:val="20"/>
                <w:szCs w:val="20"/>
                <w:color w:val="auto"/>
              </w:rPr>
            </w:pPr>
            <w:r>
              <w:rPr>
                <w:rFonts w:ascii="Arial" w:cs="Arial" w:eastAsia="Arial" w:hAnsi="Arial"/>
                <w:sz w:val="19"/>
                <w:szCs w:val="19"/>
                <w:color w:val="auto"/>
                <w:w w:val="90"/>
              </w:rPr>
              <w:t>2,123,426 (a)</w:t>
            </w: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Beneficially Owned</w:t>
            </w:r>
          </w:p>
        </w:tc>
        <w:tc>
          <w:tcPr>
            <w:tcW w:w="1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By Each Reporting</w:t>
            </w:r>
          </w:p>
        </w:tc>
        <w:tc>
          <w:tcPr>
            <w:tcW w:w="1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0"/>
        </w:trPr>
        <w:tc>
          <w:tcPr>
            <w:tcW w:w="3040" w:type="dxa"/>
            <w:vAlign w:val="bottom"/>
          </w:tcPr>
          <w:p>
            <w:pPr>
              <w:spacing w:after="0"/>
              <w:rPr>
                <w:sz w:val="20"/>
                <w:szCs w:val="20"/>
                <w:color w:val="auto"/>
              </w:rPr>
            </w:pPr>
            <w:r>
              <w:rPr>
                <w:rFonts w:ascii="Arial" w:cs="Arial" w:eastAsia="Arial" w:hAnsi="Arial"/>
                <w:sz w:val="19"/>
                <w:szCs w:val="19"/>
                <w:color w:val="auto"/>
              </w:rPr>
              <w:t>Person With</w:t>
            </w:r>
          </w:p>
        </w:tc>
        <w:tc>
          <w:tcPr>
            <w:tcW w:w="1980" w:type="dxa"/>
            <w:vAlign w:val="bottom"/>
          </w:tcPr>
          <w:p>
            <w:pPr>
              <w:ind w:left="1500"/>
              <w:spacing w:after="0"/>
              <w:rPr>
                <w:sz w:val="20"/>
                <w:szCs w:val="20"/>
                <w:color w:val="auto"/>
              </w:rPr>
            </w:pPr>
            <w:r>
              <w:rPr>
                <w:rFonts w:ascii="Arial" w:cs="Arial" w:eastAsia="Arial" w:hAnsi="Arial"/>
                <w:sz w:val="19"/>
                <w:szCs w:val="19"/>
                <w:color w:val="auto"/>
              </w:rPr>
              <w:t>(8)</w:t>
            </w:r>
          </w:p>
        </w:tc>
        <w:tc>
          <w:tcPr>
            <w:tcW w:w="1940" w:type="dxa"/>
            <w:vAlign w:val="bottom"/>
          </w:tcPr>
          <w:p>
            <w:pPr>
              <w:ind w:left="180"/>
              <w:spacing w:after="0"/>
              <w:rPr>
                <w:sz w:val="20"/>
                <w:szCs w:val="20"/>
                <w:color w:val="auto"/>
              </w:rPr>
            </w:pPr>
            <w:r>
              <w:rPr>
                <w:rFonts w:ascii="Arial" w:cs="Arial" w:eastAsia="Arial" w:hAnsi="Arial"/>
                <w:sz w:val="19"/>
                <w:szCs w:val="19"/>
                <w:color w:val="auto"/>
                <w:w w:val="96"/>
              </w:rPr>
              <w:t>Shared Voting Power</w:t>
            </w:r>
          </w:p>
        </w:tc>
        <w:tc>
          <w:tcPr>
            <w:tcW w:w="1100" w:type="dxa"/>
            <w:vAlign w:val="bottom"/>
          </w:tcPr>
          <w:p>
            <w:pPr>
              <w:jc w:val="right"/>
              <w:ind w:right="405"/>
              <w:spacing w:after="0"/>
              <w:rPr>
                <w:sz w:val="20"/>
                <w:szCs w:val="20"/>
                <w:color w:val="auto"/>
              </w:rPr>
            </w:pPr>
            <w:r>
              <w:rPr>
                <w:rFonts w:ascii="Arial" w:cs="Arial" w:eastAsia="Arial" w:hAnsi="Arial"/>
                <w:sz w:val="19"/>
                <w:szCs w:val="19"/>
                <w:color w:val="auto"/>
              </w:rPr>
              <w:t>-0-</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(9)</w:t>
            </w:r>
          </w:p>
        </w:tc>
        <w:tc>
          <w:tcPr>
            <w:tcW w:w="1940" w:type="dxa"/>
            <w:vAlign w:val="bottom"/>
          </w:tcPr>
          <w:p>
            <w:pPr>
              <w:ind w:left="140"/>
              <w:spacing w:after="0"/>
              <w:rPr>
                <w:sz w:val="20"/>
                <w:szCs w:val="20"/>
                <w:color w:val="auto"/>
              </w:rPr>
            </w:pPr>
            <w:r>
              <w:rPr>
                <w:rFonts w:ascii="Arial" w:cs="Arial" w:eastAsia="Arial" w:hAnsi="Arial"/>
                <w:sz w:val="19"/>
                <w:szCs w:val="19"/>
                <w:color w:val="auto"/>
                <w:w w:val="91"/>
              </w:rPr>
              <w:t>Sole Dispositive Power</w:t>
            </w:r>
          </w:p>
        </w:tc>
        <w:tc>
          <w:tcPr>
            <w:tcW w:w="1100" w:type="dxa"/>
            <w:vAlign w:val="bottom"/>
          </w:tcPr>
          <w:p>
            <w:pPr>
              <w:ind w:left="80"/>
              <w:spacing w:after="0"/>
              <w:rPr>
                <w:sz w:val="20"/>
                <w:szCs w:val="20"/>
                <w:color w:val="auto"/>
              </w:rPr>
            </w:pPr>
            <w:r>
              <w:rPr>
                <w:rFonts w:ascii="Arial" w:cs="Arial" w:eastAsia="Arial" w:hAnsi="Arial"/>
                <w:sz w:val="19"/>
                <w:szCs w:val="19"/>
                <w:color w:val="auto"/>
                <w:w w:val="88"/>
              </w:rPr>
              <w:t>2,123,426 (a)</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(10)</w:t>
            </w:r>
          </w:p>
        </w:tc>
        <w:tc>
          <w:tcPr>
            <w:tcW w:w="3040" w:type="dxa"/>
            <w:vAlign w:val="bottom"/>
            <w:gridSpan w:val="2"/>
          </w:tcPr>
          <w:p>
            <w:pPr>
              <w:ind w:left="140"/>
              <w:spacing w:after="0"/>
              <w:rPr>
                <w:sz w:val="20"/>
                <w:szCs w:val="20"/>
                <w:color w:val="auto"/>
              </w:rPr>
            </w:pPr>
            <w:r>
              <w:rPr>
                <w:rFonts w:ascii="Arial" w:cs="Arial" w:eastAsia="Arial" w:hAnsi="Arial"/>
                <w:sz w:val="19"/>
                <w:szCs w:val="19"/>
                <w:color w:val="auto"/>
              </w:rPr>
              <w:t>Shared Dispositive Power  -0-</w:t>
            </w:r>
          </w:p>
        </w:tc>
      </w:tr>
    </w:tbl>
    <w:p>
      <w:pPr>
        <w:spacing w:after="0" w:line="205" w:lineRule="exact"/>
        <w:rPr>
          <w:sz w:val="20"/>
          <w:szCs w:val="20"/>
          <w:color w:val="auto"/>
        </w:rPr>
      </w:pPr>
    </w:p>
    <w:p>
      <w:pPr>
        <w:ind w:left="620" w:hanging="517"/>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257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2,123,426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257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257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9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257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1"/>
          <w:numId w:val="6"/>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0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39" w:lineRule="exact"/>
        <w:rPr>
          <w:rFonts w:ascii="Arial" w:cs="Arial" w:eastAsia="Arial" w:hAnsi="Arial"/>
          <w:sz w:val="19"/>
          <w:szCs w:val="19"/>
          <w:color w:val="auto"/>
        </w:rPr>
      </w:pPr>
    </w:p>
    <w:p>
      <w:pPr>
        <w:jc w:val="both"/>
        <w:ind w:right="1939" w:firstLine="8"/>
        <w:spacing w:after="0" w:line="271" w:lineRule="auto"/>
        <w:tabs>
          <w:tab w:leader="none" w:pos="30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Alta Partners VIII, L.P. (“AP VIII”) has sole voting and dispositive control over 2,052,189 shares of common stock (“Common Stock”) and 71,237 shares of Common Stock issuable upon exercise of warrants (“Common Stock Warrants”) of Esperion Therapeutics, Inc. (the “Issuer”), except that Alta Partners Management VIII, LLC (“APM VIII”), the general partner of AP VIII, and Farah Champsi (“Champsi”), Daniel Janney (“Janney”), and Guy Nohra (“Nohra”), managing directors of AP VIII, may be deemed to share dispositive and voting power over such stock.</w:t>
      </w:r>
    </w:p>
    <w:p>
      <w:pPr>
        <w:spacing w:after="0" w:line="190" w:lineRule="exact"/>
        <w:rPr>
          <w:rFonts w:ascii="Arial" w:cs="Arial" w:eastAsia="Arial" w:hAnsi="Arial"/>
          <w:sz w:val="16"/>
          <w:szCs w:val="16"/>
          <w:color w:val="auto"/>
        </w:rPr>
      </w:pPr>
    </w:p>
    <w:p>
      <w:pPr>
        <w:ind w:right="1939" w:firstLine="8"/>
        <w:spacing w:after="0" w:line="293" w:lineRule="auto"/>
        <w:tabs>
          <w:tab w:leader="none" w:pos="3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 set forth in row (13) is based on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-1204595</wp:posOffset>
            </wp:positionV>
            <wp:extent cx="5257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5145405"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 w:name="page3"/>
    <w:bookmarkEnd w:id="2"/>
    <w:p>
      <w:pPr>
        <w:ind w:left="70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517"/>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Alta Partners Management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640" w:val="left"/>
          <w:tab w:leader="none" w:pos="710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Check The Appropriate Box If A Member Of A Group</w:t>
      </w:r>
      <w:r>
        <w:rPr>
          <w:sz w:val="20"/>
          <w:szCs w:val="20"/>
          <w:color w:val="auto"/>
        </w:rPr>
        <w:tab/>
      </w:r>
      <w:r>
        <w:rPr>
          <w:rFonts w:ascii="Arial" w:cs="Arial" w:eastAsia="Arial" w:hAnsi="Arial"/>
          <w:sz w:val="16"/>
          <w:szCs w:val="16"/>
          <w:color w:val="auto"/>
        </w:rPr>
        <w:t>(a)</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 X</w:t>
      </w:r>
    </w:p>
    <w:p>
      <w:pPr>
        <w:spacing w:after="0" w:line="211" w:lineRule="exact"/>
        <w:rPr>
          <w:sz w:val="20"/>
          <w:szCs w:val="20"/>
          <w:color w:val="auto"/>
        </w:rPr>
      </w:pPr>
    </w:p>
    <w:p>
      <w:pPr>
        <w:ind w:left="620" w:hanging="517"/>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5368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Box If Disclosure Of Legal Proceedings Is Required Pursuant To Items 2(d) Or 2(e) :</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Number Of Shares</w:t>
            </w:r>
          </w:p>
        </w:tc>
        <w:tc>
          <w:tcPr>
            <w:tcW w:w="1980" w:type="dxa"/>
            <w:vAlign w:val="bottom"/>
          </w:tcPr>
          <w:p>
            <w:pPr>
              <w:ind w:left="1500"/>
              <w:spacing w:after="0"/>
              <w:rPr>
                <w:sz w:val="20"/>
                <w:szCs w:val="20"/>
                <w:color w:val="auto"/>
              </w:rPr>
            </w:pPr>
            <w:r>
              <w:rPr>
                <w:rFonts w:ascii="Arial" w:cs="Arial" w:eastAsia="Arial" w:hAnsi="Arial"/>
                <w:sz w:val="19"/>
                <w:szCs w:val="19"/>
                <w:color w:val="auto"/>
              </w:rPr>
              <w:t>(7)</w:t>
            </w:r>
          </w:p>
        </w:tc>
        <w:tc>
          <w:tcPr>
            <w:tcW w:w="2000" w:type="dxa"/>
            <w:vAlign w:val="bottom"/>
          </w:tcPr>
          <w:p>
            <w:pPr>
              <w:ind w:left="140"/>
              <w:spacing w:after="0"/>
              <w:rPr>
                <w:sz w:val="20"/>
                <w:szCs w:val="20"/>
                <w:color w:val="auto"/>
              </w:rPr>
            </w:pPr>
            <w:r>
              <w:rPr>
                <w:rFonts w:ascii="Arial" w:cs="Arial" w:eastAsia="Arial" w:hAnsi="Arial"/>
                <w:sz w:val="19"/>
                <w:szCs w:val="19"/>
                <w:color w:val="auto"/>
              </w:rPr>
              <w:t>Sole Voting Power</w:t>
            </w:r>
          </w:p>
        </w:tc>
        <w:tc>
          <w:tcPr>
            <w:tcW w:w="1180" w:type="dxa"/>
            <w:vAlign w:val="bottom"/>
          </w:tcPr>
          <w:p>
            <w:pPr>
              <w:jc w:val="right"/>
              <w:ind w:right="825"/>
              <w:spacing w:after="0"/>
              <w:rPr>
                <w:sz w:val="20"/>
                <w:szCs w:val="20"/>
                <w:color w:val="auto"/>
              </w:rPr>
            </w:pPr>
            <w:r>
              <w:rPr>
                <w:rFonts w:ascii="Arial" w:cs="Arial" w:eastAsia="Arial" w:hAnsi="Arial"/>
                <w:sz w:val="19"/>
                <w:szCs w:val="19"/>
                <w:color w:val="auto"/>
              </w:rPr>
              <w:t>-0-</w:t>
            </w: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Beneficially Owned</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By Each Reporting</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0"/>
        </w:trPr>
        <w:tc>
          <w:tcPr>
            <w:tcW w:w="3040" w:type="dxa"/>
            <w:vAlign w:val="bottom"/>
          </w:tcPr>
          <w:p>
            <w:pPr>
              <w:spacing w:after="0"/>
              <w:rPr>
                <w:sz w:val="20"/>
                <w:szCs w:val="20"/>
                <w:color w:val="auto"/>
              </w:rPr>
            </w:pPr>
            <w:r>
              <w:rPr>
                <w:rFonts w:ascii="Arial" w:cs="Arial" w:eastAsia="Arial" w:hAnsi="Arial"/>
                <w:sz w:val="19"/>
                <w:szCs w:val="19"/>
                <w:color w:val="auto"/>
              </w:rPr>
              <w:t>Person With</w:t>
            </w:r>
          </w:p>
        </w:tc>
        <w:tc>
          <w:tcPr>
            <w:tcW w:w="1980" w:type="dxa"/>
            <w:vAlign w:val="bottom"/>
          </w:tcPr>
          <w:p>
            <w:pPr>
              <w:ind w:left="1500"/>
              <w:spacing w:after="0"/>
              <w:rPr>
                <w:sz w:val="20"/>
                <w:szCs w:val="20"/>
                <w:color w:val="auto"/>
              </w:rPr>
            </w:pPr>
            <w:r>
              <w:rPr>
                <w:rFonts w:ascii="Arial" w:cs="Arial" w:eastAsia="Arial" w:hAnsi="Arial"/>
                <w:sz w:val="19"/>
                <w:szCs w:val="19"/>
                <w:color w:val="auto"/>
              </w:rPr>
              <w:t>(8)</w:t>
            </w:r>
          </w:p>
        </w:tc>
        <w:tc>
          <w:tcPr>
            <w:tcW w:w="3180" w:type="dxa"/>
            <w:vAlign w:val="bottom"/>
            <w:gridSpan w:val="2"/>
          </w:tcPr>
          <w:p>
            <w:pPr>
              <w:ind w:left="140"/>
              <w:spacing w:after="0"/>
              <w:rPr>
                <w:sz w:val="20"/>
                <w:szCs w:val="20"/>
                <w:color w:val="auto"/>
              </w:rPr>
            </w:pPr>
            <w:r>
              <w:rPr>
                <w:rFonts w:ascii="Arial" w:cs="Arial" w:eastAsia="Arial" w:hAnsi="Arial"/>
                <w:sz w:val="19"/>
                <w:szCs w:val="19"/>
                <w:color w:val="auto"/>
                <w:w w:val="99"/>
              </w:rPr>
              <w:t>Shared Voting Power  2,123,426 (c)</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(9)</w:t>
            </w:r>
          </w:p>
        </w:tc>
        <w:tc>
          <w:tcPr>
            <w:tcW w:w="2000" w:type="dxa"/>
            <w:vAlign w:val="bottom"/>
          </w:tcPr>
          <w:p>
            <w:pPr>
              <w:ind w:left="180"/>
              <w:spacing w:after="0"/>
              <w:rPr>
                <w:sz w:val="20"/>
                <w:szCs w:val="20"/>
                <w:color w:val="auto"/>
              </w:rPr>
            </w:pPr>
            <w:r>
              <w:rPr>
                <w:rFonts w:ascii="Arial" w:cs="Arial" w:eastAsia="Arial" w:hAnsi="Arial"/>
                <w:sz w:val="19"/>
                <w:szCs w:val="19"/>
                <w:color w:val="auto"/>
                <w:w w:val="92"/>
              </w:rPr>
              <w:t>Sole Dispositive Power</w:t>
            </w:r>
          </w:p>
        </w:tc>
        <w:tc>
          <w:tcPr>
            <w:tcW w:w="1180" w:type="dxa"/>
            <w:vAlign w:val="bottom"/>
          </w:tcPr>
          <w:p>
            <w:pPr>
              <w:jc w:val="right"/>
              <w:ind w:right="625"/>
              <w:spacing w:after="0"/>
              <w:rPr>
                <w:sz w:val="20"/>
                <w:szCs w:val="20"/>
                <w:color w:val="auto"/>
              </w:rPr>
            </w:pPr>
            <w:r>
              <w:rPr>
                <w:rFonts w:ascii="Arial" w:cs="Arial" w:eastAsia="Arial" w:hAnsi="Arial"/>
                <w:sz w:val="19"/>
                <w:szCs w:val="19"/>
                <w:color w:val="auto"/>
              </w:rPr>
              <w:t>-0-</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(10)</w:t>
            </w:r>
          </w:p>
        </w:tc>
        <w:tc>
          <w:tcPr>
            <w:tcW w:w="3180" w:type="dxa"/>
            <w:vAlign w:val="bottom"/>
            <w:gridSpan w:val="2"/>
          </w:tcPr>
          <w:p>
            <w:pPr>
              <w:ind w:left="140"/>
              <w:spacing w:after="0"/>
              <w:rPr>
                <w:sz w:val="20"/>
                <w:szCs w:val="20"/>
                <w:color w:val="auto"/>
              </w:rPr>
            </w:pPr>
            <w:r>
              <w:rPr>
                <w:rFonts w:ascii="Arial" w:cs="Arial" w:eastAsia="Arial" w:hAnsi="Arial"/>
                <w:sz w:val="19"/>
                <w:szCs w:val="19"/>
                <w:color w:val="auto"/>
                <w:w w:val="90"/>
              </w:rPr>
              <w:t>Shared Dispositive Power 2,123,426 (c)</w:t>
            </w:r>
          </w:p>
        </w:tc>
      </w:tr>
    </w:tbl>
    <w:p>
      <w:pPr>
        <w:spacing w:after="0" w:line="205" w:lineRule="exact"/>
        <w:rPr>
          <w:sz w:val="20"/>
          <w:szCs w:val="20"/>
          <w:color w:val="auto"/>
        </w:rPr>
      </w:pPr>
    </w:p>
    <w:p>
      <w:pPr>
        <w:ind w:left="620" w:hanging="517"/>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2,123,426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1"/>
          <w:numId w:val="13"/>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0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39" w:lineRule="exact"/>
        <w:rPr>
          <w:rFonts w:ascii="Arial" w:cs="Arial" w:eastAsia="Arial" w:hAnsi="Arial"/>
          <w:sz w:val="19"/>
          <w:szCs w:val="19"/>
          <w:color w:val="auto"/>
        </w:rPr>
      </w:pPr>
    </w:p>
    <w:p>
      <w:pPr>
        <w:ind w:right="1759" w:firstLine="8"/>
        <w:spacing w:after="0" w:line="293" w:lineRule="auto"/>
        <w:tabs>
          <w:tab w:leader="none" w:pos="3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APM VIII is the general partner of AP VIII and shares voting and dispositive power over the shares of Common Stock and the shares of Common Stock issuable upon the exercise of the Common Stock Warrants held by AP VIII.</w:t>
      </w:r>
    </w:p>
    <w:p>
      <w:pPr>
        <w:spacing w:after="0" w:line="172" w:lineRule="exact"/>
        <w:rPr>
          <w:rFonts w:ascii="Arial" w:cs="Arial" w:eastAsia="Arial" w:hAnsi="Arial"/>
          <w:sz w:val="16"/>
          <w:szCs w:val="16"/>
          <w:color w:val="auto"/>
        </w:rPr>
      </w:pPr>
    </w:p>
    <w:p>
      <w:pPr>
        <w:ind w:right="1759" w:firstLine="8"/>
        <w:spacing w:after="0" w:line="293" w:lineRule="auto"/>
        <w:tabs>
          <w:tab w:leader="none" w:pos="3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percentage set forth in row (13) is based on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5368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5145405"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 w:name="page4"/>
    <w:bookmarkEnd w:id="3"/>
    <w:p>
      <w:pPr>
        <w:ind w:left="70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hanging="517"/>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Farah Champsi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640" w:val="left"/>
          <w:tab w:leader="none" w:pos="710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Check The Appropriate Box If A Member Of A Group</w:t>
      </w:r>
      <w:r>
        <w:rPr>
          <w:sz w:val="20"/>
          <w:szCs w:val="20"/>
          <w:color w:val="auto"/>
        </w:rPr>
        <w:tab/>
      </w:r>
      <w:r>
        <w:rPr>
          <w:rFonts w:ascii="Arial" w:cs="Arial" w:eastAsia="Arial" w:hAnsi="Arial"/>
          <w:sz w:val="16"/>
          <w:szCs w:val="16"/>
          <w:color w:val="auto"/>
        </w:rPr>
        <w:t>(a)</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 X</w:t>
      </w:r>
    </w:p>
    <w:p>
      <w:pPr>
        <w:spacing w:after="0" w:line="211" w:lineRule="exact"/>
        <w:rPr>
          <w:sz w:val="20"/>
          <w:szCs w:val="20"/>
          <w:color w:val="auto"/>
        </w:rPr>
      </w:pPr>
    </w:p>
    <w:p>
      <w:pPr>
        <w:ind w:left="620" w:hanging="517"/>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5368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Check Box If Disclosure Of Legal Proceedings Is Required Pursuant To Items 2(d) Or 2(e) :</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Number Of Shares</w:t>
            </w:r>
          </w:p>
        </w:tc>
        <w:tc>
          <w:tcPr>
            <w:tcW w:w="1980" w:type="dxa"/>
            <w:vAlign w:val="bottom"/>
          </w:tcPr>
          <w:p>
            <w:pPr>
              <w:ind w:left="1500"/>
              <w:spacing w:after="0"/>
              <w:rPr>
                <w:sz w:val="20"/>
                <w:szCs w:val="20"/>
                <w:color w:val="auto"/>
              </w:rPr>
            </w:pPr>
            <w:r>
              <w:rPr>
                <w:rFonts w:ascii="Arial" w:cs="Arial" w:eastAsia="Arial" w:hAnsi="Arial"/>
                <w:sz w:val="19"/>
                <w:szCs w:val="19"/>
                <w:color w:val="auto"/>
              </w:rPr>
              <w:t>(7)</w:t>
            </w:r>
          </w:p>
        </w:tc>
        <w:tc>
          <w:tcPr>
            <w:tcW w:w="2000" w:type="dxa"/>
            <w:vAlign w:val="bottom"/>
          </w:tcPr>
          <w:p>
            <w:pPr>
              <w:ind w:left="140"/>
              <w:spacing w:after="0"/>
              <w:rPr>
                <w:sz w:val="20"/>
                <w:szCs w:val="20"/>
                <w:color w:val="auto"/>
              </w:rPr>
            </w:pPr>
            <w:r>
              <w:rPr>
                <w:rFonts w:ascii="Arial" w:cs="Arial" w:eastAsia="Arial" w:hAnsi="Arial"/>
                <w:sz w:val="19"/>
                <w:szCs w:val="19"/>
                <w:color w:val="auto"/>
              </w:rPr>
              <w:t>Sole Voting Power</w:t>
            </w:r>
          </w:p>
        </w:tc>
        <w:tc>
          <w:tcPr>
            <w:tcW w:w="1180" w:type="dxa"/>
            <w:vAlign w:val="bottom"/>
          </w:tcPr>
          <w:p>
            <w:pPr>
              <w:jc w:val="right"/>
              <w:ind w:right="825"/>
              <w:spacing w:after="0"/>
              <w:rPr>
                <w:sz w:val="20"/>
                <w:szCs w:val="20"/>
                <w:color w:val="auto"/>
              </w:rPr>
            </w:pPr>
            <w:r>
              <w:rPr>
                <w:rFonts w:ascii="Arial" w:cs="Arial" w:eastAsia="Arial" w:hAnsi="Arial"/>
                <w:sz w:val="19"/>
                <w:szCs w:val="19"/>
                <w:color w:val="auto"/>
              </w:rPr>
              <w:t>-0-</w:t>
            </w: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Beneficially Owned</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By Each Reporting</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0"/>
        </w:trPr>
        <w:tc>
          <w:tcPr>
            <w:tcW w:w="3040" w:type="dxa"/>
            <w:vAlign w:val="bottom"/>
          </w:tcPr>
          <w:p>
            <w:pPr>
              <w:spacing w:after="0"/>
              <w:rPr>
                <w:sz w:val="20"/>
                <w:szCs w:val="20"/>
                <w:color w:val="auto"/>
              </w:rPr>
            </w:pPr>
            <w:r>
              <w:rPr>
                <w:rFonts w:ascii="Arial" w:cs="Arial" w:eastAsia="Arial" w:hAnsi="Arial"/>
                <w:sz w:val="19"/>
                <w:szCs w:val="19"/>
                <w:color w:val="auto"/>
              </w:rPr>
              <w:t>Person With</w:t>
            </w:r>
          </w:p>
        </w:tc>
        <w:tc>
          <w:tcPr>
            <w:tcW w:w="1980" w:type="dxa"/>
            <w:vAlign w:val="bottom"/>
          </w:tcPr>
          <w:p>
            <w:pPr>
              <w:ind w:left="1500"/>
              <w:spacing w:after="0"/>
              <w:rPr>
                <w:sz w:val="20"/>
                <w:szCs w:val="20"/>
                <w:color w:val="auto"/>
              </w:rPr>
            </w:pPr>
            <w:r>
              <w:rPr>
                <w:rFonts w:ascii="Arial" w:cs="Arial" w:eastAsia="Arial" w:hAnsi="Arial"/>
                <w:sz w:val="19"/>
                <w:szCs w:val="19"/>
                <w:color w:val="auto"/>
              </w:rPr>
              <w:t>(8)</w:t>
            </w:r>
          </w:p>
        </w:tc>
        <w:tc>
          <w:tcPr>
            <w:tcW w:w="2000" w:type="dxa"/>
            <w:vAlign w:val="bottom"/>
          </w:tcPr>
          <w:p>
            <w:pPr>
              <w:ind w:left="180"/>
              <w:spacing w:after="0"/>
              <w:rPr>
                <w:sz w:val="20"/>
                <w:szCs w:val="20"/>
                <w:color w:val="auto"/>
              </w:rPr>
            </w:pPr>
            <w:r>
              <w:rPr>
                <w:rFonts w:ascii="Arial" w:cs="Arial" w:eastAsia="Arial" w:hAnsi="Arial"/>
                <w:sz w:val="19"/>
                <w:szCs w:val="19"/>
                <w:color w:val="auto"/>
              </w:rPr>
              <w:t>Shared Voting Power</w:t>
            </w:r>
          </w:p>
        </w:tc>
        <w:tc>
          <w:tcPr>
            <w:tcW w:w="1180" w:type="dxa"/>
            <w:vAlign w:val="bottom"/>
          </w:tcPr>
          <w:p>
            <w:pPr>
              <w:jc w:val="right"/>
              <w:spacing w:after="0"/>
              <w:rPr>
                <w:sz w:val="20"/>
                <w:szCs w:val="20"/>
                <w:color w:val="auto"/>
              </w:rPr>
            </w:pPr>
            <w:r>
              <w:rPr>
                <w:rFonts w:ascii="Arial" w:cs="Arial" w:eastAsia="Arial" w:hAnsi="Arial"/>
                <w:sz w:val="19"/>
                <w:szCs w:val="19"/>
                <w:color w:val="auto"/>
              </w:rPr>
              <w:t>2,123,426 (e)</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(9)</w:t>
            </w:r>
          </w:p>
        </w:tc>
        <w:tc>
          <w:tcPr>
            <w:tcW w:w="2000" w:type="dxa"/>
            <w:vAlign w:val="bottom"/>
          </w:tcPr>
          <w:p>
            <w:pPr>
              <w:ind w:left="180"/>
              <w:spacing w:after="0"/>
              <w:rPr>
                <w:sz w:val="20"/>
                <w:szCs w:val="20"/>
                <w:color w:val="auto"/>
              </w:rPr>
            </w:pPr>
            <w:r>
              <w:rPr>
                <w:rFonts w:ascii="Arial" w:cs="Arial" w:eastAsia="Arial" w:hAnsi="Arial"/>
                <w:sz w:val="19"/>
                <w:szCs w:val="19"/>
                <w:color w:val="auto"/>
                <w:w w:val="92"/>
              </w:rPr>
              <w:t>Sole Dispositive Power</w:t>
            </w:r>
          </w:p>
        </w:tc>
        <w:tc>
          <w:tcPr>
            <w:tcW w:w="1180" w:type="dxa"/>
            <w:vAlign w:val="bottom"/>
          </w:tcPr>
          <w:p>
            <w:pPr>
              <w:jc w:val="right"/>
              <w:ind w:right="765"/>
              <w:spacing w:after="0"/>
              <w:rPr>
                <w:sz w:val="20"/>
                <w:szCs w:val="20"/>
                <w:color w:val="auto"/>
              </w:rPr>
            </w:pPr>
            <w:r>
              <w:rPr>
                <w:rFonts w:ascii="Arial" w:cs="Arial" w:eastAsia="Arial" w:hAnsi="Arial"/>
                <w:sz w:val="19"/>
                <w:szCs w:val="19"/>
                <w:color w:val="auto"/>
              </w:rPr>
              <w:t>-0-</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(10)</w:t>
            </w:r>
          </w:p>
        </w:tc>
        <w:tc>
          <w:tcPr>
            <w:tcW w:w="3180" w:type="dxa"/>
            <w:vAlign w:val="bottom"/>
            <w:gridSpan w:val="2"/>
          </w:tcPr>
          <w:p>
            <w:pPr>
              <w:ind w:left="140"/>
              <w:spacing w:after="0"/>
              <w:rPr>
                <w:sz w:val="20"/>
                <w:szCs w:val="20"/>
                <w:color w:val="auto"/>
              </w:rPr>
            </w:pPr>
            <w:r>
              <w:rPr>
                <w:rFonts w:ascii="Arial" w:cs="Arial" w:eastAsia="Arial" w:hAnsi="Arial"/>
                <w:sz w:val="19"/>
                <w:szCs w:val="19"/>
                <w:color w:val="auto"/>
                <w:w w:val="89"/>
              </w:rPr>
              <w:t>Shared Dispositive Power 2,123,426 (e)</w:t>
            </w:r>
          </w:p>
        </w:tc>
      </w:tr>
    </w:tbl>
    <w:p>
      <w:pPr>
        <w:spacing w:after="0" w:line="205" w:lineRule="exact"/>
        <w:rPr>
          <w:sz w:val="20"/>
          <w:szCs w:val="20"/>
          <w:color w:val="auto"/>
        </w:rPr>
      </w:pPr>
    </w:p>
    <w:p>
      <w:pPr>
        <w:ind w:left="620" w:hanging="517"/>
        <w:spacing w:after="0"/>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2,123,426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68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9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9"/>
          <w:szCs w:val="19"/>
          <w:color w:val="auto"/>
        </w:rPr>
        <w:t>14.5%</w:t>
        <w:tab/>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368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0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39" w:lineRule="exact"/>
        <w:rPr>
          <w:rFonts w:ascii="Arial" w:cs="Arial" w:eastAsia="Arial" w:hAnsi="Arial"/>
          <w:sz w:val="19"/>
          <w:szCs w:val="19"/>
          <w:color w:val="auto"/>
        </w:rPr>
      </w:pPr>
    </w:p>
    <w:p>
      <w:pPr>
        <w:ind w:right="1759" w:firstLine="8"/>
        <w:spacing w:after="0" w:line="329" w:lineRule="auto"/>
        <w:tabs>
          <w:tab w:leader="none" w:pos="231"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Champsi is a managing director of APM VIII and may be deemed to share voting and dispositive control over the shares of Common Stock and the shares of Common Stock issuable upon exercise of the Common Stock Warrants held by AP VIII.</w:t>
      </w:r>
    </w:p>
    <w:p>
      <w:pPr>
        <w:spacing w:after="0" w:line="148" w:lineRule="exact"/>
        <w:rPr>
          <w:rFonts w:ascii="Arial" w:cs="Arial" w:eastAsia="Arial" w:hAnsi="Arial"/>
          <w:sz w:val="15"/>
          <w:szCs w:val="15"/>
          <w:color w:val="auto"/>
        </w:rPr>
      </w:pPr>
    </w:p>
    <w:p>
      <w:pPr>
        <w:ind w:right="1759" w:firstLine="8"/>
        <w:spacing w:after="0" w:line="293" w:lineRule="auto"/>
        <w:tabs>
          <w:tab w:leader="none" w:pos="2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percentage set forth in row (13) is based on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5368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5145405"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4" w:name="page5"/>
    <w:bookmarkEnd w:id="4"/>
    <w:p>
      <w:pPr>
        <w:ind w:left="70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hanging="517"/>
        <w:spacing w:after="0"/>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9518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9518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640" w:val="left"/>
          <w:tab w:leader="none" w:pos="710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Check The Appropriate Box If A Member Of A Group</w:t>
      </w:r>
      <w:r>
        <w:rPr>
          <w:sz w:val="20"/>
          <w:szCs w:val="20"/>
          <w:color w:val="auto"/>
        </w:rPr>
        <w:tab/>
      </w:r>
      <w:r>
        <w:rPr>
          <w:rFonts w:ascii="Arial" w:cs="Arial" w:eastAsia="Arial" w:hAnsi="Arial"/>
          <w:sz w:val="16"/>
          <w:szCs w:val="16"/>
          <w:color w:val="auto"/>
        </w:rPr>
        <w:t>(a)</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 X</w:t>
      </w:r>
    </w:p>
    <w:p>
      <w:pPr>
        <w:spacing w:after="0" w:line="211" w:lineRule="exact"/>
        <w:rPr>
          <w:sz w:val="20"/>
          <w:szCs w:val="20"/>
          <w:color w:val="auto"/>
        </w:rPr>
      </w:pPr>
    </w:p>
    <w:p>
      <w:pPr>
        <w:ind w:left="620" w:hanging="517"/>
        <w:spacing w:after="0"/>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5951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5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951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951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Check Box If Disclosure Of Legal Proceedings Is Required Pursuant To Items 2(d) Or 2(e) :</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951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951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Number Of Shares</w:t>
            </w: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(7)</w:t>
            </w:r>
          </w:p>
        </w:tc>
        <w:tc>
          <w:tcPr>
            <w:tcW w:w="1960" w:type="dxa"/>
            <w:vAlign w:val="bottom"/>
          </w:tcPr>
          <w:p>
            <w:pPr>
              <w:ind w:left="200"/>
              <w:spacing w:after="0"/>
              <w:rPr>
                <w:sz w:val="20"/>
                <w:szCs w:val="20"/>
                <w:color w:val="auto"/>
              </w:rPr>
            </w:pPr>
            <w:r>
              <w:rPr>
                <w:rFonts w:ascii="Arial" w:cs="Arial" w:eastAsia="Arial" w:hAnsi="Arial"/>
                <w:sz w:val="19"/>
                <w:szCs w:val="19"/>
                <w:color w:val="auto"/>
              </w:rPr>
              <w:t>Sole Voting Power</w:t>
            </w:r>
          </w:p>
        </w:tc>
        <w:tc>
          <w:tcPr>
            <w:tcW w:w="1260" w:type="dxa"/>
            <w:vAlign w:val="bottom"/>
          </w:tcPr>
          <w:p>
            <w:pPr>
              <w:ind w:left="140"/>
              <w:spacing w:after="0"/>
              <w:rPr>
                <w:sz w:val="20"/>
                <w:szCs w:val="20"/>
                <w:color w:val="auto"/>
              </w:rPr>
            </w:pPr>
            <w:r>
              <w:rPr>
                <w:rFonts w:ascii="Arial" w:cs="Arial" w:eastAsia="Arial" w:hAnsi="Arial"/>
                <w:sz w:val="19"/>
                <w:szCs w:val="19"/>
                <w:color w:val="auto"/>
              </w:rPr>
              <w:t>21,471 (g)</w:t>
            </w: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Beneficially Owned</w:t>
            </w:r>
          </w:p>
        </w:tc>
        <w:tc>
          <w:tcPr>
            <w:tcW w:w="1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By Each Reporting</w:t>
            </w:r>
          </w:p>
        </w:tc>
        <w:tc>
          <w:tcPr>
            <w:tcW w:w="1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0"/>
        </w:trPr>
        <w:tc>
          <w:tcPr>
            <w:tcW w:w="3040" w:type="dxa"/>
            <w:vAlign w:val="bottom"/>
          </w:tcPr>
          <w:p>
            <w:pPr>
              <w:spacing w:after="0"/>
              <w:rPr>
                <w:sz w:val="20"/>
                <w:szCs w:val="20"/>
                <w:color w:val="auto"/>
              </w:rPr>
            </w:pPr>
            <w:r>
              <w:rPr>
                <w:rFonts w:ascii="Arial" w:cs="Arial" w:eastAsia="Arial" w:hAnsi="Arial"/>
                <w:sz w:val="19"/>
                <w:szCs w:val="19"/>
                <w:color w:val="auto"/>
              </w:rPr>
              <w:t>Person With</w:t>
            </w: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(8)</w:t>
            </w:r>
          </w:p>
        </w:tc>
        <w:tc>
          <w:tcPr>
            <w:tcW w:w="1960" w:type="dxa"/>
            <w:vAlign w:val="bottom"/>
          </w:tcPr>
          <w:p>
            <w:pPr>
              <w:ind w:left="240"/>
              <w:spacing w:after="0"/>
              <w:rPr>
                <w:sz w:val="20"/>
                <w:szCs w:val="20"/>
                <w:color w:val="auto"/>
              </w:rPr>
            </w:pPr>
            <w:r>
              <w:rPr>
                <w:rFonts w:ascii="Arial" w:cs="Arial" w:eastAsia="Arial" w:hAnsi="Arial"/>
                <w:sz w:val="19"/>
                <w:szCs w:val="19"/>
                <w:color w:val="auto"/>
                <w:w w:val="94"/>
              </w:rPr>
              <w:t>Shared Voting Power</w:t>
            </w:r>
          </w:p>
        </w:tc>
        <w:tc>
          <w:tcPr>
            <w:tcW w:w="1260" w:type="dxa"/>
            <w:vAlign w:val="bottom"/>
          </w:tcPr>
          <w:p>
            <w:pPr>
              <w:ind w:left="240"/>
              <w:spacing w:after="0"/>
              <w:rPr>
                <w:sz w:val="20"/>
                <w:szCs w:val="20"/>
                <w:color w:val="auto"/>
              </w:rPr>
            </w:pPr>
            <w:r>
              <w:rPr>
                <w:rFonts w:ascii="Arial" w:cs="Arial" w:eastAsia="Arial" w:hAnsi="Arial"/>
                <w:sz w:val="19"/>
                <w:szCs w:val="19"/>
                <w:color w:val="auto"/>
                <w:w w:val="88"/>
              </w:rPr>
              <w:t>2,123,426 (h)</w:t>
            </w:r>
          </w:p>
        </w:tc>
      </w:tr>
    </w:tbl>
    <w:p>
      <w:pPr>
        <w:spacing w:after="0" w:line="200" w:lineRule="exact"/>
        <w:rPr>
          <w:sz w:val="20"/>
          <w:szCs w:val="20"/>
          <w:color w:val="auto"/>
        </w:rPr>
      </w:pPr>
    </w:p>
    <w:p>
      <w:pPr>
        <w:spacing w:after="0" w:line="208" w:lineRule="exact"/>
        <w:rPr>
          <w:sz w:val="20"/>
          <w:szCs w:val="20"/>
          <w:color w:val="auto"/>
        </w:rPr>
      </w:pPr>
    </w:p>
    <w:p>
      <w:pPr>
        <w:ind w:left="5200" w:hanging="654"/>
        <w:spacing w:after="0"/>
        <w:tabs>
          <w:tab w:leader="none" w:pos="52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Sole Dispositive Power  2,385 (g)</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5160" w:hanging="614"/>
        <w:spacing w:after="0"/>
        <w:tabs>
          <w:tab w:leader="none" w:pos="5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Shared Dispositive Power 2,123,426 (h)</w:t>
      </w:r>
    </w:p>
    <w:p>
      <w:pPr>
        <w:spacing w:after="0" w:line="227" w:lineRule="exact"/>
        <w:rPr>
          <w:sz w:val="20"/>
          <w:szCs w:val="20"/>
          <w:color w:val="auto"/>
        </w:rPr>
      </w:pPr>
    </w:p>
    <w:p>
      <w:pPr>
        <w:ind w:left="620" w:hanging="517"/>
        <w:spacing w:after="0"/>
        <w:tabs>
          <w:tab w:leader="none" w:pos="6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951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2,144,897(g)(h)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951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951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9"/>
          <w:szCs w:val="19"/>
          <w:color w:val="auto"/>
        </w:rPr>
        <w:t>14.7%</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951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0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39" w:lineRule="exact"/>
        <w:rPr>
          <w:rFonts w:ascii="Arial" w:cs="Arial" w:eastAsia="Arial" w:hAnsi="Arial"/>
          <w:sz w:val="19"/>
          <w:szCs w:val="19"/>
          <w:color w:val="auto"/>
        </w:rPr>
      </w:pPr>
    </w:p>
    <w:p>
      <w:pPr>
        <w:jc w:val="both"/>
        <w:ind w:right="839" w:firstLine="8"/>
        <w:spacing w:after="0" w:line="270" w:lineRule="auto"/>
        <w:tabs>
          <w:tab w:leader="none" w:pos="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shares of Common Stock issuable upon exercise of a stock option held by Janney. The option, which is exercisable for 21,471 shares of Common Stock, was granted on April 11, 2013. The option is immediately exercisable in full, but the shares issuable upon exercise of the option vest in 36 equal monthly installments from the date of option grant. Any unvested shares acquired upon exercise of the option may not be sold until after they vest. Accordingly, Janney has sole voting power over all 21,471 shares subject to the option and he has sole dispositive power over 2,385 shares subject to the option, which represents the number of shares that are currently vested or that will vest over the 60 days following the date hereof.</w:t>
      </w:r>
    </w:p>
    <w:p>
      <w:pPr>
        <w:spacing w:after="0" w:line="189" w:lineRule="exact"/>
        <w:rPr>
          <w:rFonts w:ascii="Arial" w:cs="Arial" w:eastAsia="Arial" w:hAnsi="Arial"/>
          <w:sz w:val="16"/>
          <w:szCs w:val="16"/>
          <w:color w:val="auto"/>
        </w:rPr>
      </w:pPr>
    </w:p>
    <w:p>
      <w:pPr>
        <w:ind w:right="859" w:firstLine="8"/>
        <w:spacing w:after="0" w:line="293"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Janney is a managing director of APM VIII and may be deemed to share voting and dispositive control over the shares of Common Stock and the shares of Common Stock issuable upon exercise of the Common Stock Warrants held by AP VIII.</w:t>
      </w:r>
    </w:p>
    <w:p>
      <w:pPr>
        <w:spacing w:after="0" w:line="172" w:lineRule="exact"/>
        <w:rPr>
          <w:rFonts w:ascii="Arial" w:cs="Arial" w:eastAsia="Arial" w:hAnsi="Arial"/>
          <w:sz w:val="16"/>
          <w:szCs w:val="16"/>
          <w:color w:val="auto"/>
        </w:rPr>
      </w:pPr>
    </w:p>
    <w:p>
      <w:pPr>
        <w:ind w:right="839" w:firstLine="8"/>
        <w:spacing w:after="0" w:line="293" w:lineRule="auto"/>
        <w:tabs>
          <w:tab w:leader="none" w:pos="19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percentage set forth in row (13) is based on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-1727835</wp:posOffset>
            </wp:positionV>
            <wp:extent cx="59518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514540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 w:name="page6"/>
    <w:bookmarkEnd w:id="5"/>
    <w:p>
      <w:pPr>
        <w:ind w:left="70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hanging="517"/>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419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419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640" w:val="left"/>
          <w:tab w:leader="none" w:pos="710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Check The Appropriate Box If A Member Of A Group</w:t>
      </w:r>
      <w:r>
        <w:rPr>
          <w:sz w:val="20"/>
          <w:szCs w:val="20"/>
          <w:color w:val="auto"/>
        </w:rPr>
        <w:tab/>
      </w:r>
      <w:r>
        <w:rPr>
          <w:rFonts w:ascii="Arial" w:cs="Arial" w:eastAsia="Arial" w:hAnsi="Arial"/>
          <w:sz w:val="16"/>
          <w:szCs w:val="16"/>
          <w:color w:val="auto"/>
        </w:rPr>
        <w:t>(a)</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 X</w:t>
      </w:r>
    </w:p>
    <w:p>
      <w:pPr>
        <w:spacing w:after="0" w:line="211" w:lineRule="exact"/>
        <w:rPr>
          <w:sz w:val="20"/>
          <w:szCs w:val="20"/>
          <w:color w:val="auto"/>
        </w:rPr>
      </w:pPr>
    </w:p>
    <w:p>
      <w:pPr>
        <w:ind w:left="620" w:hanging="51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5419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419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419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Check Box If Disclosure Of Legal Proceedings Is Required Pursuant To Items 2(d) Or 2(e) :</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419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419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Number Of Shares</w:t>
            </w:r>
          </w:p>
        </w:tc>
        <w:tc>
          <w:tcPr>
            <w:tcW w:w="1980" w:type="dxa"/>
            <w:vAlign w:val="bottom"/>
          </w:tcPr>
          <w:p>
            <w:pPr>
              <w:ind w:left="1500"/>
              <w:spacing w:after="0"/>
              <w:rPr>
                <w:sz w:val="20"/>
                <w:szCs w:val="20"/>
                <w:color w:val="auto"/>
              </w:rPr>
            </w:pPr>
            <w:r>
              <w:rPr>
                <w:rFonts w:ascii="Arial" w:cs="Arial" w:eastAsia="Arial" w:hAnsi="Arial"/>
                <w:sz w:val="19"/>
                <w:szCs w:val="19"/>
                <w:color w:val="auto"/>
              </w:rPr>
              <w:t>(7)</w:t>
            </w:r>
          </w:p>
        </w:tc>
        <w:tc>
          <w:tcPr>
            <w:tcW w:w="2000" w:type="dxa"/>
            <w:vAlign w:val="bottom"/>
          </w:tcPr>
          <w:p>
            <w:pPr>
              <w:ind w:left="140"/>
              <w:spacing w:after="0"/>
              <w:rPr>
                <w:sz w:val="20"/>
                <w:szCs w:val="20"/>
                <w:color w:val="auto"/>
              </w:rPr>
            </w:pPr>
            <w:r>
              <w:rPr>
                <w:rFonts w:ascii="Arial" w:cs="Arial" w:eastAsia="Arial" w:hAnsi="Arial"/>
                <w:sz w:val="19"/>
                <w:szCs w:val="19"/>
                <w:color w:val="auto"/>
              </w:rPr>
              <w:t>Sole Voting Power</w:t>
            </w:r>
          </w:p>
        </w:tc>
        <w:tc>
          <w:tcPr>
            <w:tcW w:w="1140" w:type="dxa"/>
            <w:vAlign w:val="bottom"/>
          </w:tcPr>
          <w:p>
            <w:pPr>
              <w:jc w:val="right"/>
              <w:ind w:right="785"/>
              <w:spacing w:after="0"/>
              <w:rPr>
                <w:sz w:val="20"/>
                <w:szCs w:val="20"/>
                <w:color w:val="auto"/>
              </w:rPr>
            </w:pPr>
            <w:r>
              <w:rPr>
                <w:rFonts w:ascii="Arial" w:cs="Arial" w:eastAsia="Arial" w:hAnsi="Arial"/>
                <w:sz w:val="19"/>
                <w:szCs w:val="19"/>
                <w:color w:val="auto"/>
              </w:rPr>
              <w:t>-0-</w:t>
            </w: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Beneficially Owned</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040" w:type="dxa"/>
            <w:vAlign w:val="bottom"/>
          </w:tcPr>
          <w:p>
            <w:pPr>
              <w:spacing w:after="0" w:line="216" w:lineRule="exact"/>
              <w:rPr>
                <w:sz w:val="20"/>
                <w:szCs w:val="20"/>
                <w:color w:val="auto"/>
              </w:rPr>
            </w:pPr>
            <w:r>
              <w:rPr>
                <w:rFonts w:ascii="Arial" w:cs="Arial" w:eastAsia="Arial" w:hAnsi="Arial"/>
                <w:sz w:val="19"/>
                <w:szCs w:val="19"/>
                <w:color w:val="auto"/>
              </w:rPr>
              <w:t>By Each Reporting</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0"/>
        </w:trPr>
        <w:tc>
          <w:tcPr>
            <w:tcW w:w="3040" w:type="dxa"/>
            <w:vAlign w:val="bottom"/>
          </w:tcPr>
          <w:p>
            <w:pPr>
              <w:spacing w:after="0"/>
              <w:rPr>
                <w:sz w:val="20"/>
                <w:szCs w:val="20"/>
                <w:color w:val="auto"/>
              </w:rPr>
            </w:pPr>
            <w:r>
              <w:rPr>
                <w:rFonts w:ascii="Arial" w:cs="Arial" w:eastAsia="Arial" w:hAnsi="Arial"/>
                <w:sz w:val="19"/>
                <w:szCs w:val="19"/>
                <w:color w:val="auto"/>
              </w:rPr>
              <w:t>Person With</w:t>
            </w:r>
          </w:p>
        </w:tc>
        <w:tc>
          <w:tcPr>
            <w:tcW w:w="1980" w:type="dxa"/>
            <w:vAlign w:val="bottom"/>
          </w:tcPr>
          <w:p>
            <w:pPr>
              <w:ind w:left="1500"/>
              <w:spacing w:after="0"/>
              <w:rPr>
                <w:sz w:val="20"/>
                <w:szCs w:val="20"/>
                <w:color w:val="auto"/>
              </w:rPr>
            </w:pPr>
            <w:r>
              <w:rPr>
                <w:rFonts w:ascii="Arial" w:cs="Arial" w:eastAsia="Arial" w:hAnsi="Arial"/>
                <w:sz w:val="19"/>
                <w:szCs w:val="19"/>
                <w:color w:val="auto"/>
              </w:rPr>
              <w:t>(8)</w:t>
            </w:r>
          </w:p>
        </w:tc>
        <w:tc>
          <w:tcPr>
            <w:tcW w:w="2000" w:type="dxa"/>
            <w:vAlign w:val="bottom"/>
          </w:tcPr>
          <w:p>
            <w:pPr>
              <w:ind w:left="180"/>
              <w:spacing w:after="0"/>
              <w:rPr>
                <w:sz w:val="20"/>
                <w:szCs w:val="20"/>
                <w:color w:val="auto"/>
              </w:rPr>
            </w:pPr>
            <w:r>
              <w:rPr>
                <w:rFonts w:ascii="Arial" w:cs="Arial" w:eastAsia="Arial" w:hAnsi="Arial"/>
                <w:sz w:val="19"/>
                <w:szCs w:val="19"/>
                <w:color w:val="auto"/>
              </w:rPr>
              <w:t>Shared Voting Power</w:t>
            </w:r>
          </w:p>
        </w:tc>
        <w:tc>
          <w:tcPr>
            <w:tcW w:w="1140" w:type="dxa"/>
            <w:vAlign w:val="bottom"/>
          </w:tcPr>
          <w:p>
            <w:pPr>
              <w:jc w:val="right"/>
              <w:spacing w:after="0"/>
              <w:rPr>
                <w:sz w:val="20"/>
                <w:szCs w:val="20"/>
                <w:color w:val="auto"/>
              </w:rPr>
            </w:pPr>
            <w:r>
              <w:rPr>
                <w:rFonts w:ascii="Arial" w:cs="Arial" w:eastAsia="Arial" w:hAnsi="Arial"/>
                <w:sz w:val="19"/>
                <w:szCs w:val="19"/>
                <w:color w:val="auto"/>
                <w:w w:val="99"/>
              </w:rPr>
              <w:t>2,123,426 (j)</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(9)</w:t>
            </w:r>
          </w:p>
        </w:tc>
        <w:tc>
          <w:tcPr>
            <w:tcW w:w="2000" w:type="dxa"/>
            <w:vAlign w:val="bottom"/>
          </w:tcPr>
          <w:p>
            <w:pPr>
              <w:ind w:left="180"/>
              <w:spacing w:after="0"/>
              <w:rPr>
                <w:sz w:val="20"/>
                <w:szCs w:val="20"/>
                <w:color w:val="auto"/>
              </w:rPr>
            </w:pPr>
            <w:r>
              <w:rPr>
                <w:rFonts w:ascii="Arial" w:cs="Arial" w:eastAsia="Arial" w:hAnsi="Arial"/>
                <w:sz w:val="19"/>
                <w:szCs w:val="19"/>
                <w:color w:val="auto"/>
                <w:w w:val="92"/>
              </w:rPr>
              <w:t>Sole Dispositive Power</w:t>
            </w:r>
          </w:p>
        </w:tc>
        <w:tc>
          <w:tcPr>
            <w:tcW w:w="1140" w:type="dxa"/>
            <w:vAlign w:val="bottom"/>
          </w:tcPr>
          <w:p>
            <w:pPr>
              <w:jc w:val="right"/>
              <w:ind w:right="545"/>
              <w:spacing w:after="0"/>
              <w:rPr>
                <w:sz w:val="20"/>
                <w:szCs w:val="20"/>
                <w:color w:val="auto"/>
              </w:rPr>
            </w:pPr>
            <w:r>
              <w:rPr>
                <w:rFonts w:ascii="Arial" w:cs="Arial" w:eastAsia="Arial" w:hAnsi="Arial"/>
                <w:sz w:val="19"/>
                <w:szCs w:val="19"/>
                <w:color w:val="auto"/>
              </w:rPr>
              <w:t>-0-</w:t>
            </w:r>
          </w:p>
        </w:tc>
      </w:tr>
      <w:tr>
        <w:trPr>
          <w:trHeight w:val="648"/>
        </w:trPr>
        <w:tc>
          <w:tcPr>
            <w:tcW w:w="3040" w:type="dxa"/>
            <w:vAlign w:val="bottom"/>
          </w:tcPr>
          <w:p>
            <w:pPr>
              <w:spacing w:after="0"/>
              <w:rPr>
                <w:sz w:val="24"/>
                <w:szCs w:val="24"/>
                <w:color w:val="auto"/>
              </w:rPr>
            </w:pPr>
          </w:p>
        </w:tc>
        <w:tc>
          <w:tcPr>
            <w:tcW w:w="1980" w:type="dxa"/>
            <w:vAlign w:val="bottom"/>
          </w:tcPr>
          <w:p>
            <w:pPr>
              <w:ind w:left="1500"/>
              <w:spacing w:after="0"/>
              <w:rPr>
                <w:sz w:val="20"/>
                <w:szCs w:val="20"/>
                <w:color w:val="auto"/>
              </w:rPr>
            </w:pPr>
            <w:r>
              <w:rPr>
                <w:rFonts w:ascii="Arial" w:cs="Arial" w:eastAsia="Arial" w:hAnsi="Arial"/>
                <w:sz w:val="19"/>
                <w:szCs w:val="19"/>
                <w:color w:val="auto"/>
              </w:rPr>
              <w:t>(10)</w:t>
            </w:r>
          </w:p>
        </w:tc>
        <w:tc>
          <w:tcPr>
            <w:tcW w:w="3140" w:type="dxa"/>
            <w:vAlign w:val="bottom"/>
            <w:gridSpan w:val="2"/>
          </w:tcPr>
          <w:p>
            <w:pPr>
              <w:ind w:left="140"/>
              <w:spacing w:after="0"/>
              <w:rPr>
                <w:sz w:val="20"/>
                <w:szCs w:val="20"/>
                <w:color w:val="auto"/>
              </w:rPr>
            </w:pPr>
            <w:r>
              <w:rPr>
                <w:rFonts w:ascii="Arial" w:cs="Arial" w:eastAsia="Arial" w:hAnsi="Arial"/>
                <w:sz w:val="19"/>
                <w:szCs w:val="19"/>
                <w:color w:val="auto"/>
                <w:w w:val="90"/>
              </w:rPr>
              <w:t>Shared Dispositive Power 2,123,426 (j)</w:t>
            </w:r>
          </w:p>
        </w:tc>
      </w:tr>
    </w:tbl>
    <w:p>
      <w:pPr>
        <w:spacing w:after="0" w:line="205" w:lineRule="exact"/>
        <w:rPr>
          <w:sz w:val="20"/>
          <w:szCs w:val="20"/>
          <w:color w:val="auto"/>
        </w:rPr>
      </w:pPr>
    </w:p>
    <w:p>
      <w:pPr>
        <w:ind w:left="620" w:hanging="517"/>
        <w:spacing w:after="0"/>
        <w:tabs>
          <w:tab w:leader="none" w:pos="6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419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2,123,426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419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w:t>
      </w:r>
    </w:p>
    <w:p>
      <w:pPr>
        <w:spacing w:after="0" w:line="216" w:lineRule="exact"/>
        <w:rPr>
          <w:rFonts w:ascii="Arial" w:cs="Arial" w:eastAsia="Arial" w:hAnsi="Arial"/>
          <w:sz w:val="19"/>
          <w:szCs w:val="19"/>
          <w:color w:val="auto"/>
        </w:rPr>
      </w:pPr>
    </w:p>
    <w:p>
      <w:pPr>
        <w:ind w:left="620" w:hanging="517"/>
        <w:spacing w:after="0"/>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419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9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419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 w:lineRule="exact"/>
        <w:rPr>
          <w:sz w:val="20"/>
          <w:szCs w:val="20"/>
          <w:color w:val="auto"/>
        </w:rPr>
      </w:pPr>
    </w:p>
    <w:p>
      <w:pPr>
        <w:ind w:left="620" w:hanging="517"/>
        <w:spacing w:after="0"/>
        <w:tabs>
          <w:tab w:leader="none" w:pos="62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0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39" w:lineRule="exact"/>
        <w:rPr>
          <w:rFonts w:ascii="Arial" w:cs="Arial" w:eastAsia="Arial" w:hAnsi="Arial"/>
          <w:sz w:val="19"/>
          <w:szCs w:val="19"/>
          <w:color w:val="auto"/>
        </w:rPr>
      </w:pPr>
    </w:p>
    <w:p>
      <w:pPr>
        <w:ind w:right="1679" w:firstLine="8"/>
        <w:spacing w:after="0" w:line="329" w:lineRule="auto"/>
        <w:tabs>
          <w:tab w:leader="none" w:pos="275"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Nohra is a managing director of APM VIII and may be deemed to share voting and dispositive control over the shares of Common Stock and the shares of Common Stock issuable upon exercise of the Common Stock Warrants held by AP VIII.</w:t>
      </w:r>
    </w:p>
    <w:p>
      <w:pPr>
        <w:spacing w:after="0" w:line="148" w:lineRule="exact"/>
        <w:rPr>
          <w:rFonts w:ascii="Arial" w:cs="Arial" w:eastAsia="Arial" w:hAnsi="Arial"/>
          <w:sz w:val="15"/>
          <w:szCs w:val="15"/>
          <w:color w:val="auto"/>
        </w:rPr>
      </w:pPr>
    </w:p>
    <w:p>
      <w:pPr>
        <w:ind w:right="1679" w:firstLine="8"/>
        <w:spacing w:after="0" w:line="293" w:lineRule="auto"/>
        <w:tabs>
          <w:tab w:leader="none" w:pos="23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percentage set forth in row (13) is based on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5419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5145405"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6" w:name="page7"/>
    <w:bookmarkEnd w:id="6"/>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7" w:lineRule="exact"/>
        <w:rPr>
          <w:sz w:val="20"/>
          <w:szCs w:val="20"/>
          <w:color w:val="auto"/>
        </w:rPr>
      </w:pPr>
    </w:p>
    <w:p>
      <w:pPr>
        <w:jc w:val="both"/>
        <w:ind w:right="2119" w:firstLine="1297"/>
        <w:spacing w:after="0" w:line="260" w:lineRule="auto"/>
        <w:rPr>
          <w:sz w:val="20"/>
          <w:szCs w:val="20"/>
          <w:color w:val="auto"/>
        </w:rPr>
      </w:pPr>
      <w:r>
        <w:rPr>
          <w:rFonts w:ascii="Arial" w:cs="Arial" w:eastAsia="Arial" w:hAnsi="Arial"/>
          <w:sz w:val="18"/>
          <w:szCs w:val="18"/>
          <w:color w:val="auto"/>
        </w:rPr>
        <w:t>The title and class of securities to which this Statement on Schedule 13D (this “Statement”) relates is the common stock, par value $0.001 per share (the “Common Stock”), of Esperion Therapeutics, Inc., a Delaware corporation (the “Issuer”). The principal executive office of the Issuer is located at 46701 Commerce Center Drive, Plymouth, MI 48170. Information given in response to each item shall be deemed incorporated by reference in all other items as applicable.</w:t>
      </w:r>
    </w:p>
    <w:p>
      <w:pPr>
        <w:spacing w:after="0" w:line="196"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7"/>
          <w:szCs w:val="17"/>
          <w:b w:val="1"/>
          <w:bCs w:val="1"/>
          <w:color w:val="auto"/>
        </w:rPr>
        <w:t>Identity and Background.</w:t>
      </w:r>
    </w:p>
    <w:p>
      <w:pPr>
        <w:spacing w:after="0" w:line="247" w:lineRule="exact"/>
        <w:rPr>
          <w:sz w:val="20"/>
          <w:szCs w:val="20"/>
          <w:color w:val="auto"/>
        </w:rPr>
      </w:pPr>
    </w:p>
    <w:p>
      <w:pPr>
        <w:jc w:val="both"/>
        <w:ind w:right="2119" w:firstLine="1305"/>
        <w:spacing w:after="0" w:line="242"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Statement is being filed by (i) Alta Partners VIII, L.P., a Delaware limited partnership (“AP VIII” and the “Purchaser”), (ii) Alta Partners Management VIII, LLC, a Delaware limited liability company (“APM VIII”), and (iii) Farah Champsi, Daniel Janney, and Guy Nohra (collectively referred to as the “Managing Directors”), the Managing Directors of APM VIII. The Purchaser, APM VIII, and the Managing Directors are sometimes hereinafter collectively referred to as the “Reporting Persons.”</w:t>
      </w:r>
    </w:p>
    <w:p>
      <w:pPr>
        <w:spacing w:after="0" w:line="217" w:lineRule="exact"/>
        <w:rPr>
          <w:rFonts w:ascii="Arial" w:cs="Arial" w:eastAsia="Arial" w:hAnsi="Arial"/>
          <w:sz w:val="19"/>
          <w:szCs w:val="19"/>
          <w:color w:val="auto"/>
        </w:rPr>
      </w:pPr>
    </w:p>
    <w:p>
      <w:pPr>
        <w:jc w:val="both"/>
        <w:ind w:right="2119" w:firstLine="1305"/>
        <w:spacing w:after="0" w:line="249"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principal executive offices of AP VIII and APM VIII, and the business address of each of the Managing Directors are located at One Embarcadero Center, Suite 3700, San Francisco, California 94111.</w:t>
      </w:r>
    </w:p>
    <w:p>
      <w:pPr>
        <w:spacing w:after="0" w:line="211" w:lineRule="exact"/>
        <w:rPr>
          <w:rFonts w:ascii="Arial" w:cs="Arial" w:eastAsia="Arial" w:hAnsi="Arial"/>
          <w:sz w:val="19"/>
          <w:szCs w:val="19"/>
          <w:color w:val="auto"/>
        </w:rPr>
      </w:pPr>
    </w:p>
    <w:p>
      <w:pPr>
        <w:jc w:val="both"/>
        <w:ind w:right="2119" w:firstLine="1305"/>
        <w:spacing w:after="0" w:line="249"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principal business of AP VIII is making venture capital investments. APM VIII’s principal business is acting as general partner of AP VIII. Each of the Managing Directors’ principal business is acting as a director of APM VIII.</w:t>
      </w:r>
    </w:p>
    <w:p>
      <w:pPr>
        <w:spacing w:after="0" w:line="211" w:lineRule="exact"/>
        <w:rPr>
          <w:rFonts w:ascii="Arial" w:cs="Arial" w:eastAsia="Arial" w:hAnsi="Arial"/>
          <w:sz w:val="19"/>
          <w:szCs w:val="19"/>
          <w:color w:val="auto"/>
        </w:rPr>
      </w:pPr>
    </w:p>
    <w:p>
      <w:pPr>
        <w:ind w:right="2119" w:firstLine="1305"/>
        <w:spacing w:after="0" w:line="261"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past five years, none of the Reporting Persons has been convicted in a criminal proceeding (excluding traffic violations or similar misdemeanors).</w:t>
      </w:r>
    </w:p>
    <w:p>
      <w:pPr>
        <w:spacing w:after="0" w:line="200" w:lineRule="exact"/>
        <w:rPr>
          <w:rFonts w:ascii="Arial" w:cs="Arial" w:eastAsia="Arial" w:hAnsi="Arial"/>
          <w:sz w:val="19"/>
          <w:szCs w:val="19"/>
          <w:color w:val="auto"/>
        </w:rPr>
      </w:pPr>
    </w:p>
    <w:p>
      <w:pPr>
        <w:jc w:val="both"/>
        <w:ind w:right="2119" w:firstLine="1305"/>
        <w:spacing w:after="0" w:line="243"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past five years, none of the Reporting Persons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of finding any violation with respect to such laws.</w:t>
      </w:r>
    </w:p>
    <w:p>
      <w:pPr>
        <w:spacing w:after="0" w:line="217" w:lineRule="exact"/>
        <w:rPr>
          <w:rFonts w:ascii="Arial" w:cs="Arial" w:eastAsia="Arial" w:hAnsi="Arial"/>
          <w:sz w:val="19"/>
          <w:szCs w:val="19"/>
          <w:color w:val="auto"/>
        </w:rPr>
      </w:pPr>
    </w:p>
    <w:p>
      <w:pPr>
        <w:ind w:left="1920" w:hanging="615"/>
        <w:spacing w:after="0"/>
        <w:tabs>
          <w:tab w:leader="none" w:pos="19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of the Managing Directors is a citizen of the United States.</w:t>
      </w:r>
    </w:p>
    <w:p>
      <w:pPr>
        <w:spacing w:after="0" w:line="235"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47" w:lineRule="exact"/>
        <w:rPr>
          <w:sz w:val="20"/>
          <w:szCs w:val="20"/>
          <w:color w:val="auto"/>
        </w:rPr>
      </w:pPr>
    </w:p>
    <w:p>
      <w:pPr>
        <w:jc w:val="both"/>
        <w:ind w:right="2119" w:firstLine="1297"/>
        <w:spacing w:after="0" w:line="263" w:lineRule="auto"/>
        <w:rPr>
          <w:sz w:val="20"/>
          <w:szCs w:val="20"/>
          <w:color w:val="auto"/>
        </w:rPr>
      </w:pPr>
      <w:r>
        <w:rPr>
          <w:rFonts w:ascii="Arial" w:cs="Arial" w:eastAsia="Arial" w:hAnsi="Arial"/>
          <w:sz w:val="18"/>
          <w:szCs w:val="18"/>
          <w:color w:val="auto"/>
        </w:rPr>
        <w:t>Between April 28, 2008 and January 28, 2011, AP VIII purchased an aggregate of 6,800,000 shares of Series A Convertible Redeemable Preferred Stock (“Series A Shares”) for an aggregate purchase price of $6.8 million. AP VIII, received the funds used to purchase the Series A Shares from capital contributions made to AP VIII by its partners for investment purposes.</w:t>
      </w:r>
    </w:p>
    <w:p>
      <w:pPr>
        <w:spacing w:after="0" w:line="200" w:lineRule="exact"/>
        <w:rPr>
          <w:sz w:val="20"/>
          <w:szCs w:val="20"/>
          <w:color w:val="auto"/>
        </w:rPr>
      </w:pPr>
    </w:p>
    <w:p>
      <w:pPr>
        <w:spacing w:after="0" w:line="243"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Between January 26, 2012 and November 30, 2012, AP VIII acquired Convertible Promissory Notes from the Issuer in the aggregate principal amount of approximately $4.2 million. In connection with the issuance of certain of these promissory notes, AP VIII purchased warrants (the “Series A Warrants”) exercisable for an aggregate of 497,666 Series A Shares. The purchase price of the Series A Warrants was approximately $2,500. AP VIII received the funds used to purchase the Convertible Promissory Notes and the Series A Warrants from capital contributions made to AP VIII by its partners for investment purposes. On February 12, 2013, the Convertible Promissory Notes, including all accrued interest, were converted into an aggregate of 4,459,825 Series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5145405"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7" w:name="page8"/>
    <w:bookmarkEnd w:id="7"/>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119" w:firstLine="1297"/>
        <w:spacing w:after="0" w:line="242" w:lineRule="auto"/>
        <w:rPr>
          <w:sz w:val="20"/>
          <w:szCs w:val="20"/>
          <w:color w:val="auto"/>
        </w:rPr>
      </w:pPr>
      <w:r>
        <w:rPr>
          <w:rFonts w:ascii="Arial" w:cs="Arial" w:eastAsia="Arial" w:hAnsi="Arial"/>
          <w:sz w:val="19"/>
          <w:szCs w:val="19"/>
          <w:color w:val="auto"/>
        </w:rPr>
        <w:t>Upon the closing of the Issuer’s initial public offering on July 1, 2013 (the “IPO Closing”), every 6.986 Series A Shares automatically converted into 1 share of Common Stock for no additional consideration. AP VIII received an aggregate of 1,816,475 shares of Common Stock upon the conversion of its Series A Shares. Also, upon the IPO Closing, the Series A Warrants automatically converted on a 6.986 for 1 basis into warrants (the “Common Stock Warrants”) to purchase an aggregate of 71,237 shares of Common Stock.</w:t>
      </w:r>
    </w:p>
    <w:p>
      <w:pPr>
        <w:spacing w:after="0" w:line="218" w:lineRule="exact"/>
        <w:rPr>
          <w:sz w:val="20"/>
          <w:szCs w:val="20"/>
          <w:color w:val="auto"/>
        </w:rPr>
      </w:pPr>
    </w:p>
    <w:p>
      <w:pPr>
        <w:jc w:val="both"/>
        <w:ind w:right="2119" w:firstLine="1297"/>
        <w:spacing w:after="0" w:line="243" w:lineRule="auto"/>
        <w:rPr>
          <w:sz w:val="20"/>
          <w:szCs w:val="20"/>
          <w:color w:val="auto"/>
        </w:rPr>
      </w:pPr>
      <w:r>
        <w:rPr>
          <w:rFonts w:ascii="Arial" w:cs="Arial" w:eastAsia="Arial" w:hAnsi="Arial"/>
          <w:sz w:val="19"/>
          <w:szCs w:val="19"/>
          <w:color w:val="auto"/>
        </w:rPr>
        <w:t>Additionally, AP VIII purchased 235,714 shares of Common Stock (the “IPO shares”) as part of the Issuer’s initial public offering, which purchase closed on July 1, 2013. The aggregate purchase price of the IPO Shares was approximately $2.1 million. AP VIII received the funds used to purchase the IPO Shares from capital contributions made to AP VIII by its partners and members for investment purposes.</w:t>
      </w:r>
    </w:p>
    <w:p>
      <w:pPr>
        <w:spacing w:after="0" w:line="190" w:lineRule="exact"/>
        <w:rPr>
          <w:sz w:val="20"/>
          <w:szCs w:val="20"/>
          <w:color w:val="auto"/>
        </w:rPr>
      </w:pPr>
    </w:p>
    <w:p>
      <w:pPr>
        <w:jc w:val="both"/>
        <w:ind w:right="2119" w:firstLine="1297"/>
        <w:spacing w:after="0" w:line="258" w:lineRule="auto"/>
        <w:rPr>
          <w:sz w:val="20"/>
          <w:szCs w:val="20"/>
          <w:color w:val="auto"/>
        </w:rPr>
      </w:pPr>
      <w:r>
        <w:rPr>
          <w:rFonts w:ascii="Arial" w:cs="Arial" w:eastAsia="Arial" w:hAnsi="Arial"/>
          <w:sz w:val="18"/>
          <w:szCs w:val="18"/>
          <w:color w:val="auto"/>
        </w:rPr>
        <w:t>On April 11, 2013, Janney was granted, as partial consideration for service as a director of the Issuer, an option to purchase 21,471 shares of Common Stock at an exercise price of $3.70 per share. The option is immediately exercisable in full, but the shares issuable upon exercise of the option vest in 36 equal monthly installments from the date of option grant. Any unvested shares acquired upon exercise of the option would be subject to a restricted stock agreement and would not be eligible to be resold until after they vest. The option expires on April 11, 2023.</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47" w:lineRule="exact"/>
        <w:rPr>
          <w:sz w:val="20"/>
          <w:szCs w:val="20"/>
          <w:color w:val="auto"/>
        </w:rPr>
      </w:pPr>
    </w:p>
    <w:p>
      <w:pPr>
        <w:jc w:val="both"/>
        <w:ind w:right="2119" w:firstLine="1297"/>
        <w:spacing w:after="0" w:line="261" w:lineRule="auto"/>
        <w:rPr>
          <w:sz w:val="20"/>
          <w:szCs w:val="20"/>
          <w:color w:val="auto"/>
        </w:rPr>
      </w:pPr>
      <w:r>
        <w:rPr>
          <w:rFonts w:ascii="Arial" w:cs="Arial" w:eastAsia="Arial" w:hAnsi="Arial"/>
          <w:sz w:val="19"/>
          <w:szCs w:val="19"/>
          <w:color w:val="auto"/>
        </w:rPr>
        <w:t>AP VIII purchased the aforementioned securities for investment purposes with the aim of increasing the value of its investments and the Issuer.</w:t>
      </w:r>
    </w:p>
    <w:p>
      <w:pPr>
        <w:spacing w:after="0" w:line="200" w:lineRule="exact"/>
        <w:rPr>
          <w:sz w:val="20"/>
          <w:szCs w:val="20"/>
          <w:color w:val="auto"/>
        </w:rPr>
      </w:pPr>
    </w:p>
    <w:p>
      <w:pPr>
        <w:jc w:val="both"/>
        <w:ind w:right="2119" w:firstLine="1297"/>
        <w:spacing w:after="0" w:line="269" w:lineRule="auto"/>
        <w:rPr>
          <w:sz w:val="20"/>
          <w:szCs w:val="20"/>
          <w:color w:val="auto"/>
        </w:rPr>
      </w:pPr>
      <w:r>
        <w:rPr>
          <w:rFonts w:ascii="Arial" w:cs="Arial" w:eastAsia="Arial" w:hAnsi="Arial"/>
          <w:sz w:val="17"/>
          <w:szCs w:val="17"/>
          <w:color w:val="auto"/>
        </w:rPr>
        <w:t>Except as set forth in Item 6 below, none of the Reporting Persons have a present plan or proposal that relates to or would result in any of the actions specified in clauses (a) through (j) of Item 4 of Schedule 13D.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98"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7" w:lineRule="exact"/>
        <w:rPr>
          <w:sz w:val="20"/>
          <w:szCs w:val="20"/>
          <w:color w:val="auto"/>
        </w:rPr>
      </w:pPr>
    </w:p>
    <w:p>
      <w:pPr>
        <w:jc w:val="both"/>
        <w:ind w:right="2119" w:firstLine="1305"/>
        <w:spacing w:after="0" w:line="269" w:lineRule="auto"/>
        <w:tabs>
          <w:tab w:leader="none" w:pos="19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of July 1, 2013, AP VIII directly held 2,052,189 shares of Common Stock and Common Stock Warrants exercisable for 71,237 shares of Common Stock, representing 14.5% of the Issuer’s outstanding Common Stock as of such date. As the general partner of AP VIII, APM VIII beneficially owned an aggregate of 2,052,189 shares of Common Stock and Common Stock Warrants exercisable for 71,237 shares of Common Stock, representing 14.5% of the Issuer’s Common Stock outstanding as of such date. Each of Champsi and Nohra beneficially owned 2,052,189 shares of Common Stock and Common Stock Warrants exercisable for 71,237 shares of Common Stock, representing 14.5% of the Issuer’s outstanding Common Stock as of such date. Janney beneficially owned 2,052,189 shares of Common Stock, Common Stock Warrants exercisable for 71,237 shares of Common Stock and stock options exercisable for 21,471 shares of Common Stock, representing 14.7% of the Issuer’s outstanding Common Stock as of such date. The percentages set forth in this Item 5 are based on the 14,579,305 outstanding shares of Common Stock as disclosed in the Issuer’s final prospectus dated June 25, 2013, filed with the SEC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5145405"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8" w:name="page9"/>
    <w:bookmarkEnd w:id="8"/>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99" w:firstLine="1305"/>
        <w:spacing w:after="0"/>
        <w:tabs>
          <w:tab w:leader="none" w:pos="19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AP VIII has sole voting and dispositive control over 2,052,189 shares of Common Stock and 71,237 shares of Common Stock issuable upon exercise of the Common Stock Warrants. Janney has sole voting control over 21,471 shares of Common Stock issuable upon exercise of stock options. None of the other Reporting Persons owns any securities of the Issuer directly. APM VIII, as the general partner of AP VIII, shares the power to direct the voting and disposition of the 2,123,426 shares beneficially owned by AP VIII and may be deemed to beneficially own the shares beneficially owned by AP VIII. By virtue of their positions as managing directors of APM VIII, each Managing Director may be deemed to share the power to direct the disposition and vote of the 2,123,426 shares beneficially owned by AP VIII and may be deemed to beneficially own the shares of Common Stock beneficially owned by such entities.</w:t>
      </w:r>
    </w:p>
    <w:p>
      <w:pPr>
        <w:spacing w:after="0" w:line="219" w:lineRule="exact"/>
        <w:rPr>
          <w:rFonts w:ascii="Arial" w:cs="Arial" w:eastAsia="Arial" w:hAnsi="Arial"/>
          <w:sz w:val="19"/>
          <w:szCs w:val="19"/>
          <w:color w:val="auto"/>
        </w:rPr>
      </w:pPr>
    </w:p>
    <w:p>
      <w:pPr>
        <w:ind w:right="2099" w:firstLine="1305"/>
        <w:spacing w:after="0" w:line="261" w:lineRule="auto"/>
        <w:tabs>
          <w:tab w:leader="none" w:pos="19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Except as set forth herein, none of the Reporting Persons has effected any transactions in shares of the Issuer’s Common Stock during the last 60 days.</w:t>
      </w:r>
    </w:p>
    <w:p>
      <w:pPr>
        <w:spacing w:after="0" w:line="200" w:lineRule="exact"/>
        <w:rPr>
          <w:rFonts w:ascii="Arial" w:cs="Arial" w:eastAsia="Arial" w:hAnsi="Arial"/>
          <w:sz w:val="19"/>
          <w:szCs w:val="19"/>
          <w:color w:val="auto"/>
        </w:rPr>
      </w:pPr>
    </w:p>
    <w:p>
      <w:pPr>
        <w:jc w:val="both"/>
        <w:ind w:right="2119" w:firstLine="1305"/>
        <w:spacing w:after="0" w:line="249" w:lineRule="auto"/>
        <w:tabs>
          <w:tab w:leader="none" w:pos="19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211" w:lineRule="exact"/>
        <w:rPr>
          <w:rFonts w:ascii="Arial" w:cs="Arial" w:eastAsia="Arial" w:hAnsi="Arial"/>
          <w:sz w:val="19"/>
          <w:szCs w:val="19"/>
          <w:color w:val="auto"/>
        </w:rPr>
      </w:pPr>
    </w:p>
    <w:p>
      <w:pPr>
        <w:ind w:left="1920" w:hanging="615"/>
        <w:spacing w:after="0"/>
        <w:tabs>
          <w:tab w:leader="none" w:pos="19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Not applicable.</w:t>
      </w:r>
    </w:p>
    <w:p>
      <w:pPr>
        <w:spacing w:after="0" w:line="235" w:lineRule="exact"/>
        <w:rPr>
          <w:sz w:val="20"/>
          <w:szCs w:val="20"/>
          <w:color w:val="auto"/>
        </w:rPr>
      </w:pPr>
    </w:p>
    <w:p>
      <w:pPr>
        <w:ind w:left="1280" w:right="2859" w:hanging="1215"/>
        <w:spacing w:after="0" w:line="268" w:lineRule="auto"/>
        <w:tabs>
          <w:tab w:leader="none" w:pos="126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 Securities of the Issuer.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247" w:lineRule="exact"/>
        <w:rPr>
          <w:sz w:val="20"/>
          <w:szCs w:val="20"/>
          <w:color w:val="auto"/>
        </w:rPr>
      </w:pPr>
    </w:p>
    <w:p>
      <w:pPr>
        <w:jc w:val="both"/>
        <w:ind w:right="2119" w:firstLine="1297"/>
        <w:spacing w:after="0" w:line="283" w:lineRule="auto"/>
        <w:rPr>
          <w:sz w:val="20"/>
          <w:szCs w:val="20"/>
          <w:color w:val="auto"/>
        </w:rPr>
      </w:pPr>
      <w:r>
        <w:rPr>
          <w:rFonts w:ascii="Arial" w:cs="Arial" w:eastAsia="Arial" w:hAnsi="Arial"/>
          <w:sz w:val="17"/>
          <w:szCs w:val="17"/>
          <w:color w:val="auto"/>
        </w:rPr>
        <w:t>The Issuer, AP VIII and certain other investors are party to an Investor Rights Agreement (the “Investor Rights Agreement”), as amended, which contains certain registration rights with respect to shares of Common Stock held by AP VIII and other investors. The shares entitled to registration rights under the Investor Rights Agreement are referred to herein as “Registrable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Demand Registration Rights</w:t>
      </w:r>
    </w:p>
    <w:p>
      <w:pPr>
        <w:spacing w:after="0" w:line="241" w:lineRule="exact"/>
        <w:rPr>
          <w:sz w:val="20"/>
          <w:szCs w:val="20"/>
          <w:color w:val="auto"/>
        </w:rPr>
      </w:pPr>
    </w:p>
    <w:p>
      <w:pPr>
        <w:jc w:val="both"/>
        <w:ind w:right="2119" w:firstLine="1297"/>
        <w:spacing w:after="0" w:line="245" w:lineRule="auto"/>
        <w:rPr>
          <w:sz w:val="20"/>
          <w:szCs w:val="20"/>
          <w:color w:val="auto"/>
        </w:rPr>
      </w:pPr>
      <w:r>
        <w:rPr>
          <w:rFonts w:ascii="Arial" w:cs="Arial" w:eastAsia="Arial" w:hAnsi="Arial"/>
          <w:sz w:val="19"/>
          <w:szCs w:val="19"/>
          <w:color w:val="auto"/>
        </w:rPr>
        <w:t>If the Issuer shall receive a request from the holders of a majority of the Registrable Securities then outstanding, that the Issuer register the resale of all or a portion of their shares, the Issuer will be required, on no more than two occasions, to use its best efforts to file a registration statement and use reasonable, diligent efforts to effect such registration.</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Form S-3 Registration Rights</w:t>
      </w:r>
    </w:p>
    <w:p>
      <w:pPr>
        <w:spacing w:after="0" w:line="241" w:lineRule="exact"/>
        <w:rPr>
          <w:sz w:val="20"/>
          <w:szCs w:val="20"/>
          <w:color w:val="auto"/>
        </w:rPr>
      </w:pPr>
    </w:p>
    <w:p>
      <w:pPr>
        <w:jc w:val="both"/>
        <w:ind w:right="2119" w:firstLine="1297"/>
        <w:spacing w:after="0" w:line="242" w:lineRule="auto"/>
        <w:rPr>
          <w:sz w:val="20"/>
          <w:szCs w:val="20"/>
          <w:color w:val="auto"/>
        </w:rPr>
      </w:pPr>
      <w:r>
        <w:rPr>
          <w:rFonts w:ascii="Arial" w:cs="Arial" w:eastAsia="Arial" w:hAnsi="Arial"/>
          <w:sz w:val="19"/>
          <w:szCs w:val="19"/>
          <w:color w:val="auto"/>
        </w:rPr>
        <w:t>The holders of the Registrable Securities can make a written request that the Issuer register their shares on Form S-3 if the Issuer is eligible to file a registration statement on Form S-3 and if the aggregate price to the public of the shares offered is at least $1.0 million. These holders may make an unlimited number of requests for registration on Form S-3. However, the Issuer will not be required to effect more than two registrations in any twelve month period on Form S-3 pursuant to the Investor Rights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241" w:lineRule="exact"/>
        <w:rPr>
          <w:sz w:val="20"/>
          <w:szCs w:val="20"/>
          <w:color w:val="auto"/>
        </w:rPr>
      </w:pPr>
    </w:p>
    <w:p>
      <w:pPr>
        <w:jc w:val="both"/>
        <w:ind w:right="2099" w:firstLine="1297"/>
        <w:spacing w:after="0" w:line="260" w:lineRule="auto"/>
        <w:rPr>
          <w:sz w:val="20"/>
          <w:szCs w:val="20"/>
          <w:color w:val="auto"/>
        </w:rPr>
      </w:pPr>
      <w:r>
        <w:rPr>
          <w:rFonts w:ascii="Arial" w:cs="Arial" w:eastAsia="Arial" w:hAnsi="Arial"/>
          <w:sz w:val="18"/>
          <w:szCs w:val="18"/>
          <w:color w:val="auto"/>
        </w:rPr>
        <w:t>If the Issuer proposes to register any of its stock in connection with the public offering of such securities by the Issuer on or on behalf of selling stockholders, the Issuer shall, at such time, promptly give each holder that is a party to the Investor Rights Agreement notice of such registration. Upon the request of each holder, the Issuer shall, subject to certain limitations, cause to be registered all of the Registrable Securities that each such holder has requested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5145405"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9" w:name="page10"/>
    <w:bookmarkEnd w:id="9"/>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Expenses of Registration</w:t>
      </w:r>
    </w:p>
    <w:p>
      <w:pPr>
        <w:spacing w:after="0" w:line="146" w:lineRule="exact"/>
        <w:rPr>
          <w:sz w:val="20"/>
          <w:szCs w:val="20"/>
          <w:color w:val="auto"/>
        </w:rPr>
      </w:pPr>
    </w:p>
    <w:p>
      <w:pPr>
        <w:jc w:val="both"/>
        <w:ind w:right="2099" w:firstLine="1297"/>
        <w:spacing w:after="0" w:line="279" w:lineRule="auto"/>
        <w:rPr>
          <w:sz w:val="20"/>
          <w:szCs w:val="20"/>
          <w:color w:val="auto"/>
        </w:rPr>
      </w:pPr>
      <w:r>
        <w:rPr>
          <w:rFonts w:ascii="Arial" w:cs="Arial" w:eastAsia="Arial" w:hAnsi="Arial"/>
          <w:sz w:val="17"/>
          <w:szCs w:val="17"/>
          <w:color w:val="auto"/>
        </w:rPr>
        <w:t>The Issuer will pay all registration expenses related to any registration effected pursuant to the demand, Form S-3, and piggyback registration rights described above, although the holders requesting their shares to be registered shall bear any selling expenses, including underwriting discounts and selling commissions. In an underwritten offering, the Issuer and the managing underwriter have the right, subject to specified conditions, to limit the number of shares such holders may include.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Expiration of Registration Rights</w:t>
      </w:r>
    </w:p>
    <w:p>
      <w:pPr>
        <w:spacing w:after="0" w:line="241" w:lineRule="exact"/>
        <w:rPr>
          <w:sz w:val="20"/>
          <w:szCs w:val="20"/>
          <w:color w:val="auto"/>
        </w:rPr>
      </w:pPr>
    </w:p>
    <w:p>
      <w:pPr>
        <w:jc w:val="both"/>
        <w:ind w:right="2119" w:firstLine="1297"/>
        <w:spacing w:after="0" w:line="260" w:lineRule="auto"/>
        <w:rPr>
          <w:sz w:val="20"/>
          <w:szCs w:val="20"/>
          <w:color w:val="auto"/>
        </w:rPr>
      </w:pPr>
      <w:r>
        <w:rPr>
          <w:rFonts w:ascii="Arial" w:cs="Arial" w:eastAsia="Arial" w:hAnsi="Arial"/>
          <w:sz w:val="18"/>
          <w:szCs w:val="18"/>
          <w:color w:val="auto"/>
        </w:rPr>
        <w:t>The demand, Form S-3, and piggyback registration rights described above will expire, with respect to any particular stockholder, upon the earlier of (i) July 1, 2016, and (ii) when that stockholder holds less than 1% of the Issuer’s Common Stock and all Registrable Securities, including those issuable or issued upon conversion of the shares held by and issuable to such holder (and its affiliates) may be sold pursuant to Rule 144 during any ninety day period.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Lock-up Agreement</w:t>
      </w:r>
    </w:p>
    <w:p>
      <w:pPr>
        <w:spacing w:after="0" w:line="247" w:lineRule="exact"/>
        <w:rPr>
          <w:sz w:val="20"/>
          <w:szCs w:val="20"/>
          <w:color w:val="auto"/>
        </w:rPr>
      </w:pPr>
    </w:p>
    <w:p>
      <w:pPr>
        <w:jc w:val="both"/>
        <w:ind w:right="2099" w:firstLine="1297"/>
        <w:spacing w:after="0" w:line="255" w:lineRule="auto"/>
        <w:rPr>
          <w:sz w:val="20"/>
          <w:szCs w:val="20"/>
          <w:color w:val="auto"/>
        </w:rPr>
      </w:pPr>
      <w:r>
        <w:rPr>
          <w:rFonts w:ascii="Arial" w:cs="Arial" w:eastAsia="Arial" w:hAnsi="Arial"/>
          <w:sz w:val="18"/>
          <w:szCs w:val="18"/>
          <w:color w:val="auto"/>
        </w:rPr>
        <w:t>In connection with the Issuer’ initial public offering, the Issuer along with its directors (including Janney), executive officers and all of the other stockholders (including AP VIII) and warrant holders, entered into a lock-up agreement and agreed that for a period of 180 days (the restricted period), after June 25, 2013, subject to specified exceptions, these parties will not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enter into any swap or other arrangement that transfers to another, in whole or in part, any of the economic consequences of ownership of the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Warrant</w:t>
      </w:r>
    </w:p>
    <w:p>
      <w:pPr>
        <w:spacing w:after="0" w:line="247" w:lineRule="exact"/>
        <w:rPr>
          <w:sz w:val="20"/>
          <w:szCs w:val="20"/>
          <w:color w:val="auto"/>
        </w:rPr>
      </w:pPr>
    </w:p>
    <w:p>
      <w:pPr>
        <w:jc w:val="both"/>
        <w:ind w:right="2119" w:firstLine="1297"/>
        <w:spacing w:after="0" w:line="249" w:lineRule="auto"/>
        <w:rPr>
          <w:sz w:val="20"/>
          <w:szCs w:val="20"/>
          <w:color w:val="auto"/>
        </w:rPr>
      </w:pPr>
      <w:r>
        <w:rPr>
          <w:rFonts w:ascii="Arial" w:cs="Arial" w:eastAsia="Arial" w:hAnsi="Arial"/>
          <w:sz w:val="19"/>
          <w:szCs w:val="19"/>
          <w:color w:val="auto"/>
        </w:rPr>
        <w:t>The Common Stock Warrant entitles AP VIII to purchase an aggregate of 71,237 shares of Common Stock at an exercise price of $6.99 per share. The Common Stock Warrant expires on February 12, 2018.</w:t>
      </w:r>
    </w:p>
    <w:p>
      <w:pPr>
        <w:spacing w:after="0" w:line="211" w:lineRule="exact"/>
        <w:rPr>
          <w:sz w:val="20"/>
          <w:szCs w:val="20"/>
          <w:color w:val="auto"/>
        </w:rPr>
      </w:pPr>
    </w:p>
    <w:p>
      <w:pPr>
        <w:jc w:val="both"/>
        <w:ind w:right="2119" w:firstLine="1297"/>
        <w:spacing w:after="0" w:line="243" w:lineRule="auto"/>
        <w:rPr>
          <w:sz w:val="20"/>
          <w:szCs w:val="20"/>
          <w:color w:val="auto"/>
        </w:rPr>
      </w:pPr>
      <w:r>
        <w:rPr>
          <w:rFonts w:ascii="Arial" w:cs="Arial" w:eastAsia="Arial" w:hAnsi="Arial"/>
          <w:sz w:val="19"/>
          <w:szCs w:val="19"/>
          <w:color w:val="auto"/>
        </w:rPr>
        <w:t>The foregoing descriptions of the lock-up agreements, the Investor Rights Agreement and the Common Stock Warrant are qualified in their entirety by reference to the form of the lock-up agreement, the Investor Rights Agreement, Amendment No. 1 to the Investor Rights Agreement and the form of Common Stock Warrant, which are filed as exhibits to this Schedule 13D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5145405"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0" w:name="page11"/>
    <w:bookmarkEnd w:id="10"/>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7"/>
          <w:szCs w:val="17"/>
          <w:b w:val="1"/>
          <w:bCs w:val="1"/>
          <w:color w:val="auto"/>
        </w:rPr>
        <w:t>Material to be Filed as Exhibits.</w:t>
      </w:r>
    </w:p>
    <w:p>
      <w:pPr>
        <w:spacing w:after="0" w:line="247"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color w:val="auto"/>
        </w:rPr>
        <w:t>Exhibit A:</w:t>
      </w:r>
      <w:r>
        <w:rPr>
          <w:sz w:val="20"/>
          <w:szCs w:val="20"/>
          <w:color w:val="auto"/>
        </w:rPr>
        <w:tab/>
      </w:r>
      <w:r>
        <w:rPr>
          <w:rFonts w:ascii="Arial" w:cs="Arial" w:eastAsia="Arial" w:hAnsi="Arial"/>
          <w:sz w:val="17"/>
          <w:szCs w:val="17"/>
          <w:color w:val="auto"/>
        </w:rPr>
        <w:t>Joint Filing Statement.</w:t>
      </w:r>
    </w:p>
    <w:p>
      <w:pPr>
        <w:spacing w:after="0" w:line="241" w:lineRule="exact"/>
        <w:rPr>
          <w:sz w:val="20"/>
          <w:szCs w:val="20"/>
          <w:color w:val="auto"/>
        </w:rPr>
      </w:pPr>
    </w:p>
    <w:p>
      <w:pPr>
        <w:jc w:val="both"/>
        <w:ind w:left="1280" w:right="2119" w:hanging="1296"/>
        <w:spacing w:after="0" w:line="260" w:lineRule="auto"/>
        <w:tabs>
          <w:tab w:leader="none" w:pos="1260" w:val="left"/>
        </w:tabs>
        <w:rPr>
          <w:sz w:val="20"/>
          <w:szCs w:val="20"/>
          <w:color w:val="auto"/>
        </w:rPr>
      </w:pPr>
      <w:r>
        <w:rPr>
          <w:rFonts w:ascii="Arial" w:cs="Arial" w:eastAsia="Arial" w:hAnsi="Arial"/>
          <w:sz w:val="19"/>
          <w:szCs w:val="19"/>
          <w:color w:val="auto"/>
        </w:rPr>
        <w:t>Exhibit B:</w:t>
      </w:r>
      <w:r>
        <w:rPr>
          <w:sz w:val="20"/>
          <w:szCs w:val="20"/>
          <w:color w:val="auto"/>
        </w:rPr>
        <w:tab/>
      </w:r>
      <w:r>
        <w:rPr>
          <w:rFonts w:ascii="Arial" w:cs="Arial" w:eastAsia="Arial" w:hAnsi="Arial"/>
          <w:sz w:val="18"/>
          <w:szCs w:val="18"/>
          <w:color w:val="auto"/>
        </w:rPr>
        <w:t>Investor Rights Agreement (incorporated by reference to Exhibit 4.4 to the Issuer’s Registration Statement on Form S-1 (Registration No. 333-188595), filed with the SEC on May 14, 2013).Exhibit C: Amendment No. 1 to Investor Rights Agreement (incorporated by reference to Exhibit 4.5 to the Issuer’s Registration Statement on Form S-1 (Registration No. 333-188595), filed with the SEC on May 14, 2013).</w:t>
      </w:r>
    </w:p>
    <w:p>
      <w:pPr>
        <w:spacing w:after="0" w:line="202" w:lineRule="exact"/>
        <w:rPr>
          <w:sz w:val="20"/>
          <w:szCs w:val="20"/>
          <w:color w:val="auto"/>
        </w:rPr>
      </w:pPr>
    </w:p>
    <w:p>
      <w:pPr>
        <w:jc w:val="both"/>
        <w:ind w:left="1280" w:right="2119" w:hanging="1296"/>
        <w:spacing w:after="0" w:line="249" w:lineRule="auto"/>
        <w:tabs>
          <w:tab w:leader="none" w:pos="1260" w:val="left"/>
        </w:tabs>
        <w:rPr>
          <w:sz w:val="20"/>
          <w:szCs w:val="20"/>
          <w:color w:val="auto"/>
        </w:rPr>
      </w:pPr>
      <w:r>
        <w:rPr>
          <w:rFonts w:ascii="Arial" w:cs="Arial" w:eastAsia="Arial" w:hAnsi="Arial"/>
          <w:sz w:val="19"/>
          <w:szCs w:val="19"/>
          <w:color w:val="auto"/>
        </w:rPr>
        <w:t>Exhibit D:</w:t>
      </w:r>
      <w:r>
        <w:rPr>
          <w:sz w:val="20"/>
          <w:szCs w:val="20"/>
          <w:color w:val="auto"/>
        </w:rPr>
        <w:tab/>
      </w:r>
      <w:r>
        <w:rPr>
          <w:rFonts w:ascii="Arial" w:cs="Arial" w:eastAsia="Arial" w:hAnsi="Arial"/>
          <w:sz w:val="19"/>
          <w:szCs w:val="19"/>
          <w:color w:val="auto"/>
        </w:rPr>
        <w:t>Form of Common Stock Warrant (incorporated by reference to Exhibit 4.3 to the Issuer’s Registration Statement on Form S-1 (Registration No. 333-188595), filed with the SEC on May 14, 2013).</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color w:val="auto"/>
        </w:rPr>
        <w:t>Exhibit E:</w:t>
      </w:r>
      <w:r>
        <w:rPr>
          <w:sz w:val="20"/>
          <w:szCs w:val="20"/>
          <w:color w:val="auto"/>
        </w:rPr>
        <w:tab/>
      </w:r>
      <w:r>
        <w:rPr>
          <w:rFonts w:ascii="Arial" w:cs="Arial" w:eastAsia="Arial" w:hAnsi="Arial"/>
          <w:sz w:val="17"/>
          <w:szCs w:val="17"/>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5145405"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1" w:name="page12"/>
    <w:bookmarkEnd w:id="11"/>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Signatures</w:t>
      </w:r>
    </w:p>
    <w:p>
      <w:pPr>
        <w:spacing w:after="0" w:line="200" w:lineRule="exact"/>
        <w:rPr>
          <w:sz w:val="20"/>
          <w:szCs w:val="20"/>
          <w:color w:val="auto"/>
        </w:rPr>
      </w:pPr>
    </w:p>
    <w:p>
      <w:pPr>
        <w:spacing w:after="0" w:line="290" w:lineRule="exact"/>
        <w:rPr>
          <w:sz w:val="20"/>
          <w:szCs w:val="20"/>
          <w:color w:val="auto"/>
        </w:rPr>
      </w:pPr>
    </w:p>
    <w:p>
      <w:pPr>
        <w:ind w:right="2099" w:firstLine="1297"/>
        <w:spacing w:after="0" w:line="261"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Date: July 11,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gridSpan w:val="3"/>
          </w:tcPr>
          <w:p>
            <w:pPr>
              <w:spacing w:after="0"/>
              <w:rPr>
                <w:sz w:val="20"/>
                <w:szCs w:val="20"/>
                <w:color w:val="auto"/>
              </w:rPr>
            </w:pPr>
            <w:r>
              <w:rPr>
                <w:rFonts w:ascii="Arial" w:cs="Arial" w:eastAsia="Arial" w:hAnsi="Arial"/>
                <w:sz w:val="19"/>
                <w:szCs w:val="19"/>
                <w:b w:val="1"/>
                <w:bCs w:val="1"/>
                <w:color w:val="auto"/>
              </w:rPr>
              <w:t>Alta Partners VIII, L.P.</w:t>
            </w:r>
          </w:p>
        </w:tc>
        <w:tc>
          <w:tcPr>
            <w:tcW w:w="3820" w:type="dxa"/>
            <w:vAlign w:val="bottom"/>
            <w:gridSpan w:val="2"/>
          </w:tcPr>
          <w:p>
            <w:pPr>
              <w:ind w:left="640"/>
              <w:spacing w:after="0"/>
              <w:rPr>
                <w:sz w:val="20"/>
                <w:szCs w:val="20"/>
                <w:color w:val="auto"/>
              </w:rPr>
            </w:pPr>
            <w:r>
              <w:rPr>
                <w:rFonts w:ascii="Arial" w:cs="Arial" w:eastAsia="Arial" w:hAnsi="Arial"/>
                <w:sz w:val="19"/>
                <w:szCs w:val="19"/>
                <w:b w:val="1"/>
                <w:bCs w:val="1"/>
                <w:color w:val="auto"/>
                <w:w w:val="98"/>
              </w:rPr>
              <w:t>Alta Partners Management VIII, LLC</w:t>
            </w:r>
          </w:p>
        </w:tc>
      </w:tr>
      <w:tr>
        <w:trPr>
          <w:trHeight w:val="240"/>
        </w:trPr>
        <w:tc>
          <w:tcPr>
            <w:tcW w:w="3880" w:type="dxa"/>
            <w:vAlign w:val="bottom"/>
            <w:gridSpan w:val="3"/>
          </w:tcPr>
          <w:p>
            <w:pPr>
              <w:spacing w:after="0"/>
              <w:rPr>
                <w:sz w:val="20"/>
                <w:szCs w:val="20"/>
                <w:color w:val="auto"/>
              </w:rPr>
            </w:pPr>
            <w:r>
              <w:rPr>
                <w:rFonts w:ascii="Arial" w:cs="Arial" w:eastAsia="Arial" w:hAnsi="Arial"/>
                <w:sz w:val="19"/>
                <w:szCs w:val="19"/>
                <w:color w:val="auto"/>
              </w:rPr>
              <w:t>By: Alta Partners Management VIII, LLC</w:t>
            </w:r>
          </w:p>
        </w:tc>
        <w:tc>
          <w:tcPr>
            <w:tcW w:w="9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903"/>
        </w:trPr>
        <w:tc>
          <w:tcPr>
            <w:tcW w:w="320" w:type="dxa"/>
            <w:vAlign w:val="bottom"/>
          </w:tcPr>
          <w:p>
            <w:pPr>
              <w:spacing w:after="0"/>
              <w:rPr>
                <w:sz w:val="20"/>
                <w:szCs w:val="20"/>
                <w:color w:val="auto"/>
              </w:rPr>
            </w:pPr>
            <w:r>
              <w:rPr>
                <w:rFonts w:ascii="Arial" w:cs="Arial" w:eastAsia="Arial" w:hAnsi="Arial"/>
                <w:sz w:val="19"/>
                <w:szCs w:val="19"/>
                <w:color w:val="auto"/>
              </w:rPr>
              <w:t>By:</w:t>
            </w:r>
          </w:p>
        </w:tc>
        <w:tc>
          <w:tcPr>
            <w:tcW w:w="2820" w:type="dxa"/>
            <w:vAlign w:val="bottom"/>
            <w:tcBorders>
              <w:bottom w:val="single" w:sz="8" w:color="auto"/>
            </w:tcBorders>
          </w:tcPr>
          <w:p>
            <w:pPr>
              <w:ind w:left="760"/>
              <w:spacing w:after="0"/>
              <w:rPr>
                <w:sz w:val="20"/>
                <w:szCs w:val="20"/>
                <w:color w:val="auto"/>
              </w:rPr>
            </w:pPr>
            <w:r>
              <w:rPr>
                <w:rFonts w:ascii="Arial" w:cs="Arial" w:eastAsia="Arial" w:hAnsi="Arial"/>
                <w:sz w:val="19"/>
                <w:szCs w:val="19"/>
                <w:color w:val="auto"/>
              </w:rPr>
              <w:t>/s/ Daniel Janney</w:t>
            </w:r>
          </w:p>
        </w:tc>
        <w:tc>
          <w:tcPr>
            <w:tcW w:w="740" w:type="dxa"/>
            <w:vAlign w:val="bottom"/>
          </w:tcPr>
          <w:p>
            <w:pPr>
              <w:spacing w:after="0"/>
              <w:rPr>
                <w:sz w:val="24"/>
                <w:szCs w:val="24"/>
                <w:color w:val="auto"/>
              </w:rPr>
            </w:pPr>
          </w:p>
        </w:tc>
        <w:tc>
          <w:tcPr>
            <w:tcW w:w="960" w:type="dxa"/>
            <w:vAlign w:val="bottom"/>
          </w:tcPr>
          <w:p>
            <w:pPr>
              <w:ind w:left="640"/>
              <w:spacing w:after="0"/>
              <w:rPr>
                <w:sz w:val="20"/>
                <w:szCs w:val="20"/>
                <w:color w:val="auto"/>
              </w:rPr>
            </w:pPr>
            <w:r>
              <w:rPr>
                <w:rFonts w:ascii="Arial" w:cs="Arial" w:eastAsia="Arial" w:hAnsi="Arial"/>
                <w:sz w:val="19"/>
                <w:szCs w:val="19"/>
                <w:color w:val="auto"/>
              </w:rPr>
              <w:t>By:</w:t>
            </w:r>
          </w:p>
        </w:tc>
        <w:tc>
          <w:tcPr>
            <w:tcW w:w="2860" w:type="dxa"/>
            <w:vAlign w:val="bottom"/>
            <w:tcBorders>
              <w:bottom w:val="single" w:sz="8" w:color="auto"/>
            </w:tcBorders>
          </w:tcPr>
          <w:p>
            <w:pPr>
              <w:ind w:left="560"/>
              <w:spacing w:after="0"/>
              <w:rPr>
                <w:sz w:val="20"/>
                <w:szCs w:val="20"/>
                <w:color w:val="auto"/>
              </w:rPr>
            </w:pPr>
            <w:r>
              <w:rPr>
                <w:rFonts w:ascii="Arial" w:cs="Arial" w:eastAsia="Arial" w:hAnsi="Arial"/>
                <w:sz w:val="19"/>
                <w:szCs w:val="19"/>
                <w:color w:val="auto"/>
              </w:rPr>
              <w:t>/s/ Daniel Janney</w:t>
            </w:r>
          </w:p>
        </w:tc>
      </w:tr>
      <w:tr>
        <w:trPr>
          <w:trHeight w:val="239"/>
        </w:trPr>
        <w:tc>
          <w:tcPr>
            <w:tcW w:w="320" w:type="dxa"/>
            <w:vAlign w:val="bottom"/>
          </w:tcPr>
          <w:p>
            <w:pPr>
              <w:spacing w:after="0"/>
              <w:rPr>
                <w:sz w:val="20"/>
                <w:szCs w:val="20"/>
                <w:color w:val="auto"/>
              </w:rPr>
            </w:pPr>
          </w:p>
        </w:tc>
        <w:tc>
          <w:tcPr>
            <w:tcW w:w="3560" w:type="dxa"/>
            <w:vAlign w:val="bottom"/>
            <w:gridSpan w:val="2"/>
          </w:tcPr>
          <w:p>
            <w:pPr>
              <w:ind w:left="340"/>
              <w:spacing w:after="0"/>
              <w:rPr>
                <w:sz w:val="20"/>
                <w:szCs w:val="20"/>
                <w:color w:val="auto"/>
              </w:rPr>
            </w:pPr>
            <w:r>
              <w:rPr>
                <w:rFonts w:ascii="Arial" w:cs="Arial" w:eastAsia="Arial" w:hAnsi="Arial"/>
                <w:sz w:val="19"/>
                <w:szCs w:val="19"/>
                <w:color w:val="auto"/>
              </w:rPr>
              <w:t>Daniel Janney, Managing Director</w:t>
            </w:r>
          </w:p>
        </w:tc>
        <w:tc>
          <w:tcPr>
            <w:tcW w:w="9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9"/>
                <w:szCs w:val="19"/>
                <w:color w:val="auto"/>
                <w:w w:val="93"/>
              </w:rPr>
              <w:t>Daniel Janney,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Farah Champsi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643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6436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9"/>
          <w:szCs w:val="19"/>
          <w:color w:val="auto"/>
        </w:rPr>
        <w:t>Farah Champsi</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173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9"/>
          <w:szCs w:val="19"/>
          <w:color w:val="auto"/>
        </w:rPr>
        <w:t>Daniel Janney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510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9"/>
          <w:szCs w:val="19"/>
          <w:color w:val="auto"/>
        </w:rPr>
        <w:t>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5145405"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2" w:name="page13"/>
    <w:bookmarkEnd w:id="12"/>
    <w:p>
      <w:pPr>
        <w:jc w:val="right"/>
        <w:ind w:right="20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13</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99"/>
        <w:spacing w:after="0"/>
        <w:rPr>
          <w:sz w:val="20"/>
          <w:szCs w:val="20"/>
          <w:color w:val="auto"/>
        </w:rPr>
      </w:pPr>
      <w:r>
        <w:rPr>
          <w:rFonts w:ascii="Arial" w:cs="Arial" w:eastAsia="Arial" w:hAnsi="Arial"/>
          <w:sz w:val="19"/>
          <w:szCs w:val="19"/>
          <w:b w:val="1"/>
          <w:bCs w:val="1"/>
          <w:color w:val="auto"/>
        </w:rPr>
        <w:t>EXHIBIT A</w:t>
      </w:r>
    </w:p>
    <w:p>
      <w:pPr>
        <w:spacing w:after="0" w:line="241"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Joint Filing Statement</w:t>
      </w:r>
    </w:p>
    <w:p>
      <w:pPr>
        <w:spacing w:after="0" w:line="200" w:lineRule="exact"/>
        <w:rPr>
          <w:sz w:val="20"/>
          <w:szCs w:val="20"/>
          <w:color w:val="auto"/>
        </w:rPr>
      </w:pPr>
    </w:p>
    <w:p>
      <w:pPr>
        <w:spacing w:after="0" w:line="236" w:lineRule="exact"/>
        <w:rPr>
          <w:sz w:val="20"/>
          <w:szCs w:val="20"/>
          <w:color w:val="auto"/>
        </w:rPr>
      </w:pPr>
    </w:p>
    <w:p>
      <w:pPr>
        <w:ind w:right="2119" w:firstLine="648"/>
        <w:spacing w:after="0" w:line="261" w:lineRule="auto"/>
        <w:rPr>
          <w:sz w:val="20"/>
          <w:szCs w:val="20"/>
          <w:color w:val="auto"/>
        </w:rPr>
      </w:pPr>
      <w:r>
        <w:rPr>
          <w:rFonts w:ascii="Arial" w:cs="Arial" w:eastAsia="Arial" w:hAnsi="Arial"/>
          <w:sz w:val="19"/>
          <w:szCs w:val="19"/>
          <w:color w:val="auto"/>
        </w:rPr>
        <w:t>We, the undersigned, hereby express our agreement that the attached Schedule 13D is filed on behalf of each of us.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Date: July 11,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gridSpan w:val="3"/>
          </w:tcPr>
          <w:p>
            <w:pPr>
              <w:spacing w:after="0"/>
              <w:rPr>
                <w:sz w:val="20"/>
                <w:szCs w:val="20"/>
                <w:color w:val="auto"/>
              </w:rPr>
            </w:pPr>
            <w:r>
              <w:rPr>
                <w:rFonts w:ascii="Arial" w:cs="Arial" w:eastAsia="Arial" w:hAnsi="Arial"/>
                <w:sz w:val="19"/>
                <w:szCs w:val="19"/>
                <w:b w:val="1"/>
                <w:bCs w:val="1"/>
                <w:color w:val="auto"/>
              </w:rPr>
              <w:t>Alta Partners VIII, L.P.</w:t>
            </w:r>
          </w:p>
        </w:tc>
        <w:tc>
          <w:tcPr>
            <w:tcW w:w="3740" w:type="dxa"/>
            <w:vAlign w:val="bottom"/>
            <w:gridSpan w:val="3"/>
          </w:tcPr>
          <w:p>
            <w:pPr>
              <w:ind w:left="640"/>
              <w:spacing w:after="0"/>
              <w:rPr>
                <w:sz w:val="20"/>
                <w:szCs w:val="20"/>
                <w:color w:val="auto"/>
              </w:rPr>
            </w:pPr>
            <w:r>
              <w:rPr>
                <w:rFonts w:ascii="Arial" w:cs="Arial" w:eastAsia="Arial" w:hAnsi="Arial"/>
                <w:sz w:val="19"/>
                <w:szCs w:val="19"/>
                <w:b w:val="1"/>
                <w:bCs w:val="1"/>
                <w:color w:val="auto"/>
                <w:w w:val="95"/>
              </w:rPr>
              <w:t>Alta Partners Management VIII, LLC</w:t>
            </w:r>
          </w:p>
        </w:tc>
      </w:tr>
      <w:tr>
        <w:trPr>
          <w:trHeight w:val="240"/>
        </w:trPr>
        <w:tc>
          <w:tcPr>
            <w:tcW w:w="3880" w:type="dxa"/>
            <w:vAlign w:val="bottom"/>
            <w:gridSpan w:val="3"/>
          </w:tcPr>
          <w:p>
            <w:pPr>
              <w:spacing w:after="0"/>
              <w:rPr>
                <w:sz w:val="20"/>
                <w:szCs w:val="20"/>
                <w:color w:val="auto"/>
              </w:rPr>
            </w:pPr>
            <w:r>
              <w:rPr>
                <w:rFonts w:ascii="Arial" w:cs="Arial" w:eastAsia="Arial" w:hAnsi="Arial"/>
                <w:sz w:val="19"/>
                <w:szCs w:val="19"/>
                <w:color w:val="auto"/>
              </w:rPr>
              <w:t>By: Alta Partners Management VIII, LLC</w:t>
            </w:r>
          </w:p>
        </w:tc>
        <w:tc>
          <w:tcPr>
            <w:tcW w:w="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03"/>
        </w:trPr>
        <w:tc>
          <w:tcPr>
            <w:tcW w:w="320" w:type="dxa"/>
            <w:vAlign w:val="bottom"/>
          </w:tcPr>
          <w:p>
            <w:pPr>
              <w:spacing w:after="0"/>
              <w:rPr>
                <w:sz w:val="20"/>
                <w:szCs w:val="20"/>
                <w:color w:val="auto"/>
              </w:rPr>
            </w:pPr>
            <w:r>
              <w:rPr>
                <w:rFonts w:ascii="Arial" w:cs="Arial" w:eastAsia="Arial" w:hAnsi="Arial"/>
                <w:sz w:val="19"/>
                <w:szCs w:val="19"/>
                <w:color w:val="auto"/>
              </w:rPr>
              <w:t>By:</w:t>
            </w:r>
          </w:p>
        </w:tc>
        <w:tc>
          <w:tcPr>
            <w:tcW w:w="2820" w:type="dxa"/>
            <w:vAlign w:val="bottom"/>
            <w:tcBorders>
              <w:bottom w:val="single" w:sz="8" w:color="auto"/>
            </w:tcBorders>
          </w:tcPr>
          <w:p>
            <w:pPr>
              <w:ind w:left="760"/>
              <w:spacing w:after="0"/>
              <w:rPr>
                <w:sz w:val="20"/>
                <w:szCs w:val="20"/>
                <w:color w:val="auto"/>
              </w:rPr>
            </w:pPr>
            <w:r>
              <w:rPr>
                <w:rFonts w:ascii="Arial" w:cs="Arial" w:eastAsia="Arial" w:hAnsi="Arial"/>
                <w:sz w:val="19"/>
                <w:szCs w:val="19"/>
                <w:color w:val="auto"/>
              </w:rPr>
              <w:t>/s/ Daniel Janney</w:t>
            </w:r>
          </w:p>
        </w:tc>
        <w:tc>
          <w:tcPr>
            <w:tcW w:w="740" w:type="dxa"/>
            <w:vAlign w:val="bottom"/>
          </w:tcPr>
          <w:p>
            <w:pPr>
              <w:spacing w:after="0"/>
              <w:rPr>
                <w:sz w:val="24"/>
                <w:szCs w:val="24"/>
                <w:color w:val="auto"/>
              </w:rPr>
            </w:pPr>
          </w:p>
        </w:tc>
        <w:tc>
          <w:tcPr>
            <w:tcW w:w="960" w:type="dxa"/>
            <w:vAlign w:val="bottom"/>
          </w:tcPr>
          <w:p>
            <w:pPr>
              <w:ind w:left="640"/>
              <w:spacing w:after="0"/>
              <w:rPr>
                <w:sz w:val="20"/>
                <w:szCs w:val="20"/>
                <w:color w:val="auto"/>
              </w:rPr>
            </w:pPr>
            <w:r>
              <w:rPr>
                <w:rFonts w:ascii="Arial" w:cs="Arial" w:eastAsia="Arial" w:hAnsi="Arial"/>
                <w:sz w:val="19"/>
                <w:szCs w:val="19"/>
                <w:color w:val="auto"/>
              </w:rPr>
              <w:t>By:</w:t>
            </w:r>
          </w:p>
        </w:tc>
        <w:tc>
          <w:tcPr>
            <w:tcW w:w="2680" w:type="dxa"/>
            <w:vAlign w:val="bottom"/>
            <w:tcBorders>
              <w:bottom w:val="single" w:sz="8" w:color="auto"/>
            </w:tcBorders>
          </w:tcPr>
          <w:p>
            <w:pPr>
              <w:ind w:left="560"/>
              <w:spacing w:after="0"/>
              <w:rPr>
                <w:sz w:val="20"/>
                <w:szCs w:val="20"/>
                <w:color w:val="auto"/>
              </w:rPr>
            </w:pPr>
            <w:r>
              <w:rPr>
                <w:rFonts w:ascii="Arial" w:cs="Arial" w:eastAsia="Arial" w:hAnsi="Arial"/>
                <w:sz w:val="19"/>
                <w:szCs w:val="19"/>
                <w:color w:val="auto"/>
              </w:rPr>
              <w:t>/s/ Daniel Janney</w:t>
            </w:r>
          </w:p>
        </w:tc>
        <w:tc>
          <w:tcPr>
            <w:tcW w:w="100" w:type="dxa"/>
            <w:vAlign w:val="bottom"/>
          </w:tcPr>
          <w:p>
            <w:pPr>
              <w:spacing w:after="0"/>
              <w:rPr>
                <w:sz w:val="24"/>
                <w:szCs w:val="24"/>
                <w:color w:val="auto"/>
              </w:rPr>
            </w:pPr>
          </w:p>
        </w:tc>
      </w:tr>
      <w:tr>
        <w:trPr>
          <w:trHeight w:val="239"/>
        </w:trPr>
        <w:tc>
          <w:tcPr>
            <w:tcW w:w="320" w:type="dxa"/>
            <w:vAlign w:val="bottom"/>
          </w:tcPr>
          <w:p>
            <w:pPr>
              <w:spacing w:after="0"/>
              <w:rPr>
                <w:sz w:val="20"/>
                <w:szCs w:val="20"/>
                <w:color w:val="auto"/>
              </w:rPr>
            </w:pPr>
          </w:p>
        </w:tc>
        <w:tc>
          <w:tcPr>
            <w:tcW w:w="3560" w:type="dxa"/>
            <w:vAlign w:val="bottom"/>
            <w:gridSpan w:val="2"/>
          </w:tcPr>
          <w:p>
            <w:pPr>
              <w:ind w:left="340"/>
              <w:spacing w:after="0"/>
              <w:rPr>
                <w:sz w:val="20"/>
                <w:szCs w:val="20"/>
                <w:color w:val="auto"/>
              </w:rPr>
            </w:pPr>
            <w:r>
              <w:rPr>
                <w:rFonts w:ascii="Arial" w:cs="Arial" w:eastAsia="Arial" w:hAnsi="Arial"/>
                <w:sz w:val="19"/>
                <w:szCs w:val="19"/>
                <w:color w:val="auto"/>
              </w:rPr>
              <w:t>Daniel Janney, Managing Director</w:t>
            </w:r>
          </w:p>
        </w:tc>
        <w:tc>
          <w:tcPr>
            <w:tcW w:w="960" w:type="dxa"/>
            <w:vAlign w:val="bottom"/>
          </w:tcPr>
          <w:p>
            <w:pPr>
              <w:spacing w:after="0"/>
              <w:rPr>
                <w:sz w:val="20"/>
                <w:szCs w:val="20"/>
                <w:color w:val="auto"/>
              </w:rPr>
            </w:pPr>
          </w:p>
        </w:tc>
        <w:tc>
          <w:tcPr>
            <w:tcW w:w="2780" w:type="dxa"/>
            <w:vAlign w:val="bottom"/>
            <w:gridSpan w:val="2"/>
          </w:tcPr>
          <w:p>
            <w:pPr>
              <w:ind w:left="160"/>
              <w:spacing w:after="0"/>
              <w:rPr>
                <w:sz w:val="20"/>
                <w:szCs w:val="20"/>
                <w:color w:val="auto"/>
              </w:rPr>
            </w:pPr>
            <w:r>
              <w:rPr>
                <w:rFonts w:ascii="Arial" w:cs="Arial" w:eastAsia="Arial" w:hAnsi="Arial"/>
                <w:sz w:val="19"/>
                <w:szCs w:val="19"/>
                <w:color w:val="auto"/>
                <w:w w:val="90"/>
              </w:rPr>
              <w:t>Daniel Janney,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Farah Champsi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643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436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9"/>
          <w:szCs w:val="19"/>
          <w:color w:val="auto"/>
        </w:rPr>
        <w:t>Farah Champsi</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173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9"/>
          <w:szCs w:val="19"/>
          <w:color w:val="auto"/>
        </w:rPr>
        <w:t>Daniel Janney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 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51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9"/>
          <w:szCs w:val="19"/>
          <w:color w:val="auto"/>
        </w:rPr>
        <w:t>Guy Nohra</w:t>
      </w:r>
    </w:p>
    <w:p>
      <w:pPr>
        <w:sectPr>
          <w:pgSz w:w="11900" w:h="16838" w:orient="portrait"/>
          <w:cols w:equalWidth="0" w:num="1">
            <w:col w:w="10219"/>
          </w:cols>
          <w:pgMar w:left="240" w:top="112" w:right="1440" w:bottom="1440" w:gutter="0" w:footer="0" w:header="0"/>
        </w:sectPr>
      </w:pPr>
    </w:p>
    <w:bookmarkStart w:id="13" w:name="page14"/>
    <w:bookmarkEnd w:id="13"/>
    <w:p>
      <w:pPr>
        <w:ind w:left="6360"/>
        <w:spacing w:after="0"/>
        <w:rPr>
          <w:sz w:val="20"/>
          <w:szCs w:val="20"/>
          <w:color w:val="auto"/>
        </w:rPr>
      </w:pPr>
      <w:r>
        <w:rPr>
          <w:rFonts w:ascii="Arial" w:cs="Arial" w:eastAsia="Arial" w:hAnsi="Arial"/>
          <w:sz w:val="16"/>
          <w:szCs w:val="16"/>
          <w:color w:val="auto"/>
        </w:rPr>
        <w:t>________________, 2013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Esperion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46701 Commerce Center Drive</w:t>
      </w:r>
    </w:p>
    <w:p>
      <w:pPr>
        <w:spacing w:after="0"/>
        <w:rPr>
          <w:sz w:val="20"/>
          <w:szCs w:val="20"/>
          <w:color w:val="auto"/>
        </w:rPr>
      </w:pPr>
      <w:r>
        <w:rPr>
          <w:rFonts w:ascii="Arial" w:cs="Arial" w:eastAsia="Arial" w:hAnsi="Arial"/>
          <w:sz w:val="20"/>
          <w:szCs w:val="20"/>
          <w:color w:val="auto"/>
        </w:rPr>
        <w:t>Plymouth, MI 48170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Credit Suisse Securities (USA)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As Representatives of the Several Underwriters,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 Credit Suisse Securities (USA)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Eleven Madison Avenue,</w:t>
      </w:r>
    </w:p>
    <w:p>
      <w:pPr>
        <w:ind w:left="340"/>
        <w:spacing w:after="0"/>
        <w:rPr>
          <w:sz w:val="20"/>
          <w:szCs w:val="20"/>
          <w:color w:val="auto"/>
        </w:rPr>
      </w:pPr>
      <w:r>
        <w:rPr>
          <w:rFonts w:ascii="Arial" w:cs="Arial" w:eastAsia="Arial" w:hAnsi="Arial"/>
          <w:sz w:val="20"/>
          <w:szCs w:val="20"/>
          <w:color w:val="auto"/>
        </w:rPr>
        <w:t>New York, N.Y. 10010-3629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 Citigroup Global Markets Inc.,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388 Greenwich Street,</w:t>
      </w:r>
    </w:p>
    <w:p>
      <w:pPr>
        <w:ind w:left="340"/>
        <w:spacing w:after="0"/>
        <w:rPr>
          <w:sz w:val="20"/>
          <w:szCs w:val="20"/>
          <w:color w:val="auto"/>
        </w:rPr>
      </w:pPr>
      <w:r>
        <w:rPr>
          <w:rFonts w:ascii="Arial" w:cs="Arial" w:eastAsia="Arial" w:hAnsi="Arial"/>
          <w:sz w:val="20"/>
          <w:szCs w:val="20"/>
          <w:color w:val="auto"/>
        </w:rPr>
        <w:t>New York, N.Y. 10013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43" w:lineRule="exact"/>
        <w:rPr>
          <w:sz w:val="20"/>
          <w:szCs w:val="20"/>
          <w:color w:val="auto"/>
        </w:rPr>
      </w:pPr>
    </w:p>
    <w:p>
      <w:pPr>
        <w:jc w:val="both"/>
        <w:ind w:right="1779" w:firstLine="648"/>
        <w:spacing w:after="0" w:line="269" w:lineRule="auto"/>
        <w:rPr>
          <w:sz w:val="20"/>
          <w:szCs w:val="20"/>
          <w:color w:val="auto"/>
        </w:rPr>
      </w:pPr>
      <w:r>
        <w:rPr>
          <w:rFonts w:ascii="Arial" w:cs="Arial" w:eastAsia="Arial" w:hAnsi="Arial"/>
          <w:sz w:val="18"/>
          <w:szCs w:val="18"/>
          <w:color w:val="auto"/>
        </w:rPr>
        <w:t>As an inducement to the underwriters to execute the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pursuant to which an offering will be made that is intended to result in the establishment of a public market for the common stock, $0.001 par value per share (the “</w:t>
      </w:r>
      <w:r>
        <w:rPr>
          <w:rFonts w:ascii="Arial" w:cs="Arial" w:eastAsia="Arial" w:hAnsi="Arial"/>
          <w:sz w:val="18"/>
          <w:szCs w:val="18"/>
          <w:b w:val="1"/>
          <w:bCs w:val="1"/>
          <w:color w:val="auto"/>
        </w:rPr>
        <w:t>Securities</w:t>
      </w:r>
      <w:r>
        <w:rPr>
          <w:rFonts w:ascii="Arial" w:cs="Arial" w:eastAsia="Arial" w:hAnsi="Arial"/>
          <w:sz w:val="18"/>
          <w:szCs w:val="18"/>
          <w:color w:val="auto"/>
        </w:rPr>
        <w:t>”) of Esperion Therapeutics, Inc., a Delaware corporation, and any successor (by merger or otherwise) thereto, (the “</w:t>
      </w:r>
      <w:r>
        <w:rPr>
          <w:rFonts w:ascii="Arial" w:cs="Arial" w:eastAsia="Arial" w:hAnsi="Arial"/>
          <w:sz w:val="18"/>
          <w:szCs w:val="18"/>
          <w:b w:val="1"/>
          <w:bCs w:val="1"/>
          <w:color w:val="auto"/>
        </w:rPr>
        <w:t>Company</w:t>
      </w:r>
      <w:r>
        <w:rPr>
          <w:rFonts w:ascii="Arial" w:cs="Arial" w:eastAsia="Arial" w:hAnsi="Arial"/>
          <w:sz w:val="18"/>
          <w:szCs w:val="18"/>
          <w:color w:val="auto"/>
        </w:rPr>
        <w:t>”), the undersigned hereby agrees that during the period specified in the following paragraph (the “</w:t>
      </w:r>
      <w:r>
        <w:rPr>
          <w:rFonts w:ascii="Arial" w:cs="Arial" w:eastAsia="Arial" w:hAnsi="Arial"/>
          <w:sz w:val="18"/>
          <w:szCs w:val="18"/>
          <w:b w:val="1"/>
          <w:bCs w:val="1"/>
          <w:color w:val="auto"/>
        </w:rPr>
        <w:t>Lock-Up Period</w:t>
      </w:r>
      <w:r>
        <w:rPr>
          <w:rFonts w:ascii="Arial" w:cs="Arial" w:eastAsia="Arial" w:hAnsi="Arial"/>
          <w:sz w:val="18"/>
          <w:szCs w:val="18"/>
          <w:color w:val="auto"/>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w:t>
      </w:r>
      <w:r>
        <w:rPr>
          <w:rFonts w:ascii="Arial" w:cs="Arial" w:eastAsia="Arial" w:hAnsi="Arial"/>
          <w:sz w:val="18"/>
          <w:szCs w:val="18"/>
          <w:b w:val="1"/>
          <w:bCs w:val="1"/>
          <w:color w:val="auto"/>
        </w:rPr>
        <w:t>Credit Suisse</w:t>
      </w:r>
      <w:r>
        <w:rPr>
          <w:rFonts w:ascii="Arial" w:cs="Arial" w:eastAsia="Arial" w:hAnsi="Arial"/>
          <w:sz w:val="18"/>
          <w:szCs w:val="18"/>
          <w:color w:val="auto"/>
        </w:rPr>
        <w:t>”) and Citigroup Global Markets Inc. (together with Credit Suisse, the “</w:t>
      </w:r>
      <w:r>
        <w:rPr>
          <w:rFonts w:ascii="Arial" w:cs="Arial" w:eastAsia="Arial" w:hAnsi="Arial"/>
          <w:sz w:val="18"/>
          <w:szCs w:val="18"/>
          <w:b w:val="1"/>
          <w:bCs w:val="1"/>
          <w:color w:val="auto"/>
        </w:rPr>
        <w:t>Representatives</w:t>
      </w:r>
      <w:r>
        <w:rPr>
          <w:rFonts w:ascii="Arial" w:cs="Arial" w:eastAsia="Arial" w:hAnsi="Arial"/>
          <w:sz w:val="18"/>
          <w:szCs w:val="18"/>
          <w:color w:val="auto"/>
        </w:rPr>
        <w:t>”) . In addition, the undersigned agrees that, without the prior written consent of the Representatives, it will not, during the Lock-Up Period, make any demand for or exercise any right with respect to, the registration of any Securities or any security convertible into or exercisable or exchangeable for the Securities.</w:t>
      </w:r>
    </w:p>
    <w:p>
      <w:pPr>
        <w:spacing w:after="0" w:line="194" w:lineRule="exact"/>
        <w:rPr>
          <w:sz w:val="20"/>
          <w:szCs w:val="20"/>
          <w:color w:val="auto"/>
        </w:rPr>
      </w:pPr>
    </w:p>
    <w:p>
      <w:pPr>
        <w:jc w:val="both"/>
        <w:ind w:right="1799" w:firstLine="648"/>
        <w:spacing w:after="0" w:line="248" w:lineRule="auto"/>
        <w:rPr>
          <w:sz w:val="20"/>
          <w:szCs w:val="20"/>
          <w:color w:val="auto"/>
        </w:rPr>
      </w:pPr>
      <w:r>
        <w:rPr>
          <w:rFonts w:ascii="Arial" w:cs="Arial" w:eastAsia="Arial" w:hAnsi="Arial"/>
          <w:sz w:val="20"/>
          <w:szCs w:val="20"/>
          <w:color w:val="auto"/>
        </w:rPr>
        <w:t>The initial Lock-Up Period will commence on the date of this letter agreement (this “</w:t>
      </w:r>
      <w:r>
        <w:rPr>
          <w:rFonts w:ascii="Arial" w:cs="Arial" w:eastAsia="Arial" w:hAnsi="Arial"/>
          <w:sz w:val="20"/>
          <w:szCs w:val="20"/>
          <w:b w:val="1"/>
          <w:bCs w:val="1"/>
          <w:color w:val="auto"/>
        </w:rPr>
        <w:t>Lock-Up</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 continue and include the date that is 180 days after the public offering date set forth on</w:t>
      </w:r>
      <w:r>
        <w:rPr>
          <w:rFonts w:ascii="Arial" w:cs="Arial" w:eastAsia="Arial" w:hAnsi="Arial"/>
          <w:sz w:val="20"/>
          <w:szCs w:val="20"/>
          <w:b w:val="1"/>
          <w:bCs w:val="1"/>
          <w:color w:val="auto"/>
        </w:rPr>
        <w:t xml:space="preserve"> </w:t>
      </w:r>
      <w:r>
        <w:rPr>
          <w:rFonts w:ascii="Arial" w:cs="Arial" w:eastAsia="Arial" w:hAnsi="Arial"/>
          <w:sz w:val="20"/>
          <w:szCs w:val="20"/>
          <w:color w:val="auto"/>
        </w:rPr>
        <w:t>the final prospectus used to sell the Securities (the “</w:t>
      </w:r>
      <w:r>
        <w:rPr>
          <w:rFonts w:ascii="Arial" w:cs="Arial" w:eastAsia="Arial" w:hAnsi="Arial"/>
          <w:sz w:val="20"/>
          <w:szCs w:val="20"/>
          <w:b w:val="1"/>
          <w:bCs w:val="1"/>
          <w:color w:val="auto"/>
        </w:rPr>
        <w:t>Public Offering Date</w:t>
      </w:r>
      <w:r>
        <w:rPr>
          <w:rFonts w:ascii="Arial" w:cs="Arial" w:eastAsia="Arial" w:hAnsi="Arial"/>
          <w:sz w:val="20"/>
          <w:szCs w:val="20"/>
          <w:color w:val="auto"/>
        </w:rPr>
        <w:t>”) pursuant to the Underwriting Agreement, to which you are or expect to become parties.</w:t>
      </w:r>
    </w:p>
    <w:p>
      <w:pPr>
        <w:spacing w:after="0" w:line="217" w:lineRule="exact"/>
        <w:rPr>
          <w:sz w:val="20"/>
          <w:szCs w:val="20"/>
          <w:color w:val="auto"/>
        </w:rPr>
      </w:pPr>
    </w:p>
    <w:p>
      <w:pPr>
        <w:jc w:val="both"/>
        <w:ind w:right="1799" w:firstLine="648"/>
        <w:spacing w:after="0" w:line="260" w:lineRule="auto"/>
        <w:rPr>
          <w:sz w:val="20"/>
          <w:szCs w:val="20"/>
          <w:color w:val="auto"/>
        </w:rPr>
      </w:pPr>
      <w:r>
        <w:rPr>
          <w:rFonts w:ascii="Arial" w:cs="Arial" w:eastAsia="Arial" w:hAnsi="Arial"/>
          <w:sz w:val="20"/>
          <w:szCs w:val="20"/>
          <w:color w:val="auto"/>
        </w:rPr>
        <w:t>Any Securities received upon exercise of options granted to the undersigned will also be subject to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5351145"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1095" w:right="1440" w:bottom="1440" w:gutter="0" w:footer="0" w:header="0"/>
        </w:sectPr>
      </w:pPr>
    </w:p>
    <w:bookmarkStart w:id="14" w:name="page15"/>
    <w:bookmarkEnd w:id="14"/>
    <w:p>
      <w:pPr>
        <w:jc w:val="both"/>
        <w:ind w:right="1779" w:firstLine="648"/>
        <w:spacing w:after="0" w:line="275" w:lineRule="auto"/>
        <w:rPr>
          <w:sz w:val="20"/>
          <w:szCs w:val="20"/>
          <w:color w:val="auto"/>
        </w:rPr>
      </w:pPr>
      <w:r>
        <w:rPr>
          <w:rFonts w:ascii="Arial" w:cs="Arial" w:eastAsia="Arial" w:hAnsi="Arial"/>
          <w:sz w:val="18"/>
          <w:szCs w:val="18"/>
          <w:color w:val="auto"/>
        </w:rPr>
        <w:t>Notwithstanding anything herein to the contrary, the restrictions contained in this Lock-Up Agreement shall not apply to any of the following: (i) transfers of Securities as a bona fide gift or gifts,</w:t>
      </w:r>
    </w:p>
    <w:p>
      <w:pPr>
        <w:spacing w:after="0" w:line="1" w:lineRule="exact"/>
        <w:rPr>
          <w:sz w:val="20"/>
          <w:szCs w:val="20"/>
          <w:color w:val="auto"/>
        </w:rPr>
      </w:pPr>
    </w:p>
    <w:p>
      <w:pPr>
        <w:jc w:val="both"/>
        <w:ind w:right="1779" w:firstLine="8"/>
        <w:spacing w:after="0" w:line="267" w:lineRule="auto"/>
        <w:tabs>
          <w:tab w:leader="none" w:pos="3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transfers of Securities or other securities of the Company to a trust or limited family partnership for the direct or indirect benefit of the undersigned or the immediate family of the undersigned, (iii) transfers of Securities or other securities of the Company by will, other testamentary document or intestate succession to the legal representative, heir, beneficiary or a member of the immediate family of the undersigned in a transaction not involving a disposition for value, (iv) the exercise, including by “net” exercise, of any options or warrants to acquire Securities or the conversion of any convertible security into Securities, (v) transfers or distributions of Securities to members, limited partners, stockholders or affiliates of, or any investment fund or other entity that controls or manages, the undersigned, provided that the transfer or distribution shall not involve a disposition for value, (vi) transfers or distributions in connection with a merger or sale of the Company, regardless of how such a transaction is structured (it being further understood that this agreement shall not restrict the undersigned from entering into any agreement or arrangement in connection therewith, including an agreement to vote in favor of, or tender Securities or other securities of the Company in, any such transaction or taking any other action in connection with any such transaction), (vii) the entering into by the undersigned of a written trading plan pursuant to Rule 10b5-1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during the Lock-Up Period, provided that no sales of the undersigned’s Securities shall be made pursuant to such Plan prior to the expiration of the Lock-Up Period or (viii) Securities purchased by the undersigned in the offering to which the Underwriting Agreement relates; provided further that, with respect to clauses (i), (ii), (iii), (iv) and (v), (a) each transferee or distributee agrees to be bound in writing by the terms of this Lock-Up Agreement, and (b) no filing or public announcement by any party (donor, donee, transferor, transferee, distributor or distributee) under the Exchange Act shall be required or shall be voluntarily made in connection with such transfer, exercise, conversion or distribution (other than a filing on a Form 5 made after the expiration of the Lock-Up Period).</w:t>
      </w:r>
    </w:p>
    <w:p>
      <w:pPr>
        <w:spacing w:after="0" w:line="211" w:lineRule="exact"/>
        <w:rPr>
          <w:sz w:val="20"/>
          <w:szCs w:val="20"/>
          <w:color w:val="auto"/>
        </w:rPr>
      </w:pPr>
    </w:p>
    <w:p>
      <w:pPr>
        <w:jc w:val="both"/>
        <w:ind w:right="1779" w:firstLine="648"/>
        <w:spacing w:after="0" w:line="250" w:lineRule="auto"/>
        <w:rPr>
          <w:sz w:val="20"/>
          <w:szCs w:val="20"/>
          <w:color w:val="auto"/>
        </w:rPr>
      </w:pPr>
      <w:r>
        <w:rPr>
          <w:rFonts w:ascii="Arial" w:cs="Arial" w:eastAsia="Arial" w:hAnsi="Arial"/>
          <w:sz w:val="20"/>
          <w:szCs w:val="20"/>
          <w:color w:val="auto"/>
        </w:rPr>
        <w:t>In furtherance of the foregoing, the Company and its transfer agent and registrar are hereby authorized to decline to make any transfer of shares of Securities if such transfer would constitute a violation or breach of this Lock-Up Agreement.</w:t>
      </w:r>
    </w:p>
    <w:p>
      <w:pPr>
        <w:spacing w:after="0" w:line="213" w:lineRule="exact"/>
        <w:rPr>
          <w:sz w:val="20"/>
          <w:szCs w:val="20"/>
          <w:color w:val="auto"/>
        </w:rPr>
      </w:pPr>
    </w:p>
    <w:p>
      <w:pPr>
        <w:jc w:val="both"/>
        <w:ind w:right="1779" w:firstLine="648"/>
        <w:spacing w:after="0" w:line="250" w:lineRule="auto"/>
        <w:rPr>
          <w:sz w:val="20"/>
          <w:szCs w:val="20"/>
          <w:color w:val="auto"/>
        </w:rPr>
      </w:pPr>
      <w:r>
        <w:rPr>
          <w:rFonts w:ascii="Arial" w:cs="Arial" w:eastAsia="Arial" w:hAnsi="Arial"/>
          <w:sz w:val="20"/>
          <w:szCs w:val="20"/>
          <w:color w:val="auto"/>
        </w:rPr>
        <w:t>If the undersigned is an officer or director of the Company, the undersigned further agrees that the foregoing restrictions in this Lock-Up Agreement shall be equally applicable to any issuer-directed Securities the undersigned may purchase in the above-referenced offering.</w:t>
      </w:r>
    </w:p>
    <w:p>
      <w:pPr>
        <w:spacing w:after="0" w:line="213" w:lineRule="exact"/>
        <w:rPr>
          <w:sz w:val="20"/>
          <w:szCs w:val="20"/>
          <w:color w:val="auto"/>
        </w:rPr>
      </w:pPr>
    </w:p>
    <w:p>
      <w:pPr>
        <w:jc w:val="both"/>
        <w:ind w:right="1779" w:firstLine="648"/>
        <w:spacing w:after="0" w:line="270"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Securities, the Representatives will notify the Company of the impending release or waiver, and (ii) the Company has agreed in the Underwriting Agreement to announce the impending release or waiver by press release through a major news service or in a registration statement publicly filed with the Securities and Exchange Commission in connection with a secondary offering at least two business days before the effective date of the release or waiver. Any release or waiver granted by the Representatives hereunder to any such officer or director shall only be effective two business days after the date of such publication.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5351145"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757" w:right="1440" w:bottom="1440" w:gutter="0" w:footer="0" w:header="0"/>
        </w:sectPr>
      </w:pPr>
    </w:p>
    <w:bookmarkStart w:id="15" w:name="page16"/>
    <w:bookmarkEnd w:id="15"/>
    <w:p>
      <w:pPr>
        <w:jc w:val="both"/>
        <w:ind w:right="1779" w:firstLine="648"/>
        <w:spacing w:after="0" w:line="258" w:lineRule="auto"/>
        <w:rPr>
          <w:sz w:val="20"/>
          <w:szCs w:val="20"/>
          <w:color w:val="auto"/>
        </w:rPr>
      </w:pPr>
      <w:r>
        <w:rPr>
          <w:rFonts w:ascii="Arial" w:cs="Arial" w:eastAsia="Arial" w:hAnsi="Arial"/>
          <w:sz w:val="19"/>
          <w:szCs w:val="19"/>
          <w:color w:val="auto"/>
        </w:rPr>
        <w:t xml:space="preserve">This Lock-Up Agreement shall be binding on the undersigned and the successors, heirs, personal representatives and assigns of the undersigned. This Lock-Up Agreement shall lapse and become null and void (i) on December 31, 2013 if the Public Offering Date shall not have occurred on or before such date or (ii) upon written notice from an authorized officer of the Company to the Representatives, executed or delivered prior to the signing of the Underwriting Agreement, that the Company has determined not to proceed with the public offering of the Securities. </w:t>
      </w:r>
      <w:r>
        <w:rPr>
          <w:rFonts w:ascii="Arial" w:cs="Arial" w:eastAsia="Arial" w:hAnsi="Arial"/>
          <w:sz w:val="19"/>
          <w:szCs w:val="19"/>
          <w:b w:val="1"/>
          <w:bCs w:val="1"/>
          <w:color w:val="auto"/>
        </w:rPr>
        <w:t>This agreement shall be governed</w:t>
      </w:r>
      <w:r>
        <w:rPr>
          <w:rFonts w:ascii="Arial" w:cs="Arial" w:eastAsia="Arial" w:hAnsi="Arial"/>
          <w:sz w:val="19"/>
          <w:szCs w:val="19"/>
          <w:color w:val="auto"/>
        </w:rPr>
        <w:t xml:space="preserve"> </w:t>
      </w:r>
      <w:r>
        <w:rPr>
          <w:rFonts w:ascii="Arial" w:cs="Arial" w:eastAsia="Arial" w:hAnsi="Arial"/>
          <w:sz w:val="19"/>
          <w:szCs w:val="19"/>
          <w:b w:val="1"/>
          <w:bCs w:val="1"/>
          <w:color w:val="auto"/>
        </w:rPr>
        <w:t>by, and construed in accordance with, the laws of the State of New York.</w:t>
      </w: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5351145"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852"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3480" w:type="dxa"/>
            <w:vAlign w:val="bottom"/>
            <w:gridSpan w:val="3"/>
          </w:tcPr>
          <w:p>
            <w:pPr>
              <w:spacing w:after="0"/>
              <w:rPr>
                <w:sz w:val="20"/>
                <w:szCs w:val="20"/>
                <w:color w:val="auto"/>
              </w:rPr>
            </w:pPr>
            <w:r>
              <w:rPr>
                <w:rFonts w:ascii="Arial" w:cs="Arial" w:eastAsia="Arial" w:hAnsi="Arial"/>
                <w:sz w:val="20"/>
                <w:szCs w:val="20"/>
                <w:color w:val="auto"/>
              </w:rPr>
              <w:t>Very truly yours,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716"/>
        </w:trPr>
        <w:tc>
          <w:tcPr>
            <w:tcW w:w="3480" w:type="dxa"/>
            <w:vAlign w:val="bottom"/>
            <w:gridSpan w:val="3"/>
          </w:tcPr>
          <w:p>
            <w:pPr>
              <w:spacing w:after="0"/>
              <w:rPr>
                <w:sz w:val="20"/>
                <w:szCs w:val="20"/>
                <w:color w:val="auto"/>
              </w:rPr>
            </w:pPr>
            <w:r>
              <w:rPr>
                <w:rFonts w:ascii="Arial" w:cs="Arial" w:eastAsia="Arial" w:hAnsi="Arial"/>
                <w:sz w:val="20"/>
                <w:szCs w:val="20"/>
                <w:b w:val="1"/>
                <w:bCs w:val="1"/>
                <w:color w:val="auto"/>
              </w:rPr>
              <w:t>IF AN INDIVIDUAL:</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Arial" w:cs="Arial" w:eastAsia="Arial" w:hAnsi="Arial"/>
                <w:sz w:val="20"/>
                <w:szCs w:val="20"/>
                <w:b w:val="1"/>
                <w:bCs w:val="1"/>
                <w:color w:val="auto"/>
              </w:rPr>
              <w:t>IF AN ENTITY: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1"/>
        </w:trPr>
        <w:tc>
          <w:tcPr>
            <w:tcW w:w="740" w:type="dxa"/>
            <w:vAlign w:val="bottom"/>
          </w:tcPr>
          <w:p>
            <w:pPr>
              <w:ind w:left="420"/>
              <w:spacing w:after="0"/>
              <w:rPr>
                <w:sz w:val="20"/>
                <w:szCs w:val="20"/>
                <w:color w:val="auto"/>
              </w:rPr>
            </w:pPr>
            <w:r>
              <w:rPr>
                <w:rFonts w:ascii="Arial" w:cs="Arial" w:eastAsia="Arial" w:hAnsi="Arial"/>
                <w:sz w:val="20"/>
                <w:szCs w:val="20"/>
                <w:color w:val="auto"/>
              </w:rPr>
              <w:t>By:</w:t>
            </w:r>
          </w:p>
        </w:tc>
        <w:tc>
          <w:tcPr>
            <w:tcW w:w="274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740" w:type="dxa"/>
            <w:vAlign w:val="bottom"/>
          </w:tcPr>
          <w:p>
            <w:pPr>
              <w:spacing w:after="0"/>
              <w:rPr>
                <w:sz w:val="22"/>
                <w:szCs w:val="22"/>
                <w:color w:val="auto"/>
              </w:rPr>
            </w:pPr>
          </w:p>
        </w:tc>
        <w:tc>
          <w:tcPr>
            <w:tcW w:w="2740" w:type="dxa"/>
            <w:vAlign w:val="bottom"/>
            <w:gridSpan w:val="2"/>
          </w:tcPr>
          <w:p>
            <w:pPr>
              <w:ind w:left="360"/>
              <w:spacing w:after="0"/>
              <w:rPr>
                <w:sz w:val="20"/>
                <w:szCs w:val="20"/>
                <w:color w:val="auto"/>
              </w:rPr>
            </w:pPr>
            <w:r>
              <w:rPr>
                <w:rFonts w:ascii="Arial" w:cs="Arial" w:eastAsia="Arial" w:hAnsi="Arial"/>
                <w:sz w:val="20"/>
                <w:szCs w:val="20"/>
                <w:i w:val="1"/>
                <w:iCs w:val="1"/>
                <w:color w:val="auto"/>
                <w:w w:val="99"/>
              </w:rPr>
              <w:t>(duly authorized signature)</w:t>
            </w: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20" w:type="dxa"/>
            <w:vAlign w:val="bottom"/>
            <w:gridSpan w:val="4"/>
          </w:tcPr>
          <w:p>
            <w:pPr>
              <w:ind w:left="40"/>
              <w:spacing w:after="0"/>
              <w:rPr>
                <w:sz w:val="20"/>
                <w:szCs w:val="20"/>
                <w:color w:val="auto"/>
              </w:rPr>
            </w:pPr>
            <w:r>
              <w:rPr>
                <w:rFonts w:ascii="Arial" w:cs="Arial" w:eastAsia="Arial" w:hAnsi="Arial"/>
                <w:sz w:val="20"/>
                <w:szCs w:val="20"/>
                <w:i w:val="1"/>
                <w:iCs w:val="1"/>
                <w:color w:val="auto"/>
              </w:rPr>
              <w:t>(please print complete name of entity)</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1"/>
        </w:trPr>
        <w:tc>
          <w:tcPr>
            <w:tcW w:w="3480" w:type="dxa"/>
            <w:vAlign w:val="bottom"/>
            <w:gridSpan w:val="3"/>
          </w:tcPr>
          <w:p>
            <w:pPr>
              <w:ind w:left="580"/>
              <w:spacing w:after="0"/>
              <w:rPr>
                <w:sz w:val="20"/>
                <w:szCs w:val="20"/>
                <w:color w:val="auto"/>
              </w:rPr>
            </w:pPr>
            <w:r>
              <w:rPr>
                <w:rFonts w:ascii="Arial" w:cs="Arial" w:eastAsia="Arial" w:hAnsi="Arial"/>
                <w:sz w:val="20"/>
                <w:szCs w:val="20"/>
                <w:color w:val="auto"/>
              </w:rPr>
              <w:t>Name:</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gridSpan w:val="4"/>
          </w:tcPr>
          <w:p>
            <w:pPr>
              <w:ind w:left="400"/>
              <w:spacing w:after="0"/>
              <w:rPr>
                <w:sz w:val="20"/>
                <w:szCs w:val="20"/>
                <w:color w:val="auto"/>
              </w:rPr>
            </w:pPr>
            <w:r>
              <w:rPr>
                <w:rFonts w:ascii="Arial" w:cs="Arial" w:eastAsia="Arial" w:hAnsi="Arial"/>
                <w:sz w:val="20"/>
                <w:szCs w:val="20"/>
                <w:color w:val="auto"/>
              </w:rPr>
              <w:t>By: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20"/>
                <w:szCs w:val="20"/>
                <w:i w:val="1"/>
                <w:iCs w:val="1"/>
                <w:color w:val="auto"/>
              </w:rPr>
              <w:t>(please print full name)</w:t>
            </w: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i w:val="1"/>
                <w:iCs w:val="1"/>
                <w:color w:val="auto"/>
                <w:w w:val="91"/>
              </w:rPr>
              <w:t>(duly authorized signature)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1"/>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gridSpan w:val="4"/>
          </w:tcPr>
          <w:p>
            <w:pPr>
              <w:ind w:left="400"/>
              <w:spacing w:after="0"/>
              <w:rPr>
                <w:sz w:val="20"/>
                <w:szCs w:val="20"/>
                <w:color w:val="auto"/>
              </w:rPr>
            </w:pPr>
            <w:r>
              <w:rPr>
                <w:rFonts w:ascii="Arial" w:cs="Arial" w:eastAsia="Arial" w:hAnsi="Arial"/>
                <w:sz w:val="20"/>
                <w:szCs w:val="20"/>
                <w:color w:val="auto"/>
              </w:rPr>
              <w:t>Name: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i w:val="1"/>
                <w:iCs w:val="1"/>
                <w:color w:val="auto"/>
                <w:w w:val="91"/>
              </w:rPr>
              <w:t>(please print full name)</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3480" w:type="dxa"/>
            <w:vAlign w:val="bottom"/>
            <w:gridSpan w:val="3"/>
          </w:tcPr>
          <w:p>
            <w:pPr>
              <w:spacing w:after="0"/>
              <w:rPr>
                <w:sz w:val="20"/>
                <w:szCs w:val="20"/>
                <w:color w:val="auto"/>
              </w:rPr>
            </w:pPr>
            <w:r>
              <w:rPr>
                <w:rFonts w:ascii="Arial" w:cs="Arial" w:eastAsia="Arial" w:hAnsi="Arial"/>
                <w:sz w:val="20"/>
                <w:szCs w:val="20"/>
                <w:color w:val="auto"/>
              </w:rPr>
              <w:t>Address: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Arial" w:cs="Arial" w:eastAsia="Arial" w:hAnsi="Arial"/>
                <w:sz w:val="20"/>
                <w:szCs w:val="20"/>
                <w:color w:val="auto"/>
              </w:rPr>
              <w:t>Address: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01"/>
        </w:trPr>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3"/>
    </w:lvl>
  </w:abstractNum>
  <w:abstractNum w:abstractNumId="2">
    <w:nsid w:val="333AB105"/>
    <w:multiLevelType w:val="hybridMultilevel"/>
    <w:lvl w:ilvl="0">
      <w:lvlJc w:val="left"/>
      <w:lvlText w:val="(%1)"/>
      <w:numFmt w:val="decimal"/>
      <w:start w:val="5"/>
    </w:lvl>
  </w:abstractNum>
  <w:abstractNum w:abstractNumId="3">
    <w:nsid w:val="721DA317"/>
    <w:multiLevelType w:val="hybridMultilevel"/>
    <w:lvl w:ilvl="0">
      <w:lvlJc w:val="left"/>
      <w:lvlText w:val="(%1)"/>
      <w:numFmt w:val="decimal"/>
      <w:start w:val="11"/>
    </w:lvl>
  </w:abstractNum>
  <w:abstractNum w:abstractNumId="4">
    <w:nsid w:val="2443A858"/>
    <w:multiLevelType w:val="hybridMultilevel"/>
    <w:lvl w:ilvl="0">
      <w:lvlJc w:val="left"/>
      <w:lvlText w:val="(%1)"/>
      <w:numFmt w:val="decimal"/>
      <w:start w:val="12"/>
    </w:lvl>
  </w:abstractNum>
  <w:abstractNum w:abstractNumId="5">
    <w:nsid w:val="2D1D5AE9"/>
    <w:multiLevelType w:val="hybridMultilevel"/>
    <w:lvl w:ilvl="0">
      <w:lvlJc w:val="left"/>
      <w:lvlText w:val="%1"/>
      <w:numFmt w:val="lowerLetter"/>
      <w:start w:val="1"/>
    </w:lvl>
    <w:lvl w:ilvl="1">
      <w:lvlJc w:val="left"/>
      <w:lvlText w:val="(%2)"/>
      <w:numFmt w:val="decimal"/>
      <w:start w:val="14"/>
    </w:lvl>
  </w:abstractNum>
  <w:abstractNum w:abstractNumId="6">
    <w:nsid w:val="6763845E"/>
    <w:multiLevelType w:val="hybridMultilevel"/>
    <w:lvl w:ilvl="0">
      <w:lvlJc w:val="left"/>
      <w:lvlText w:val="(%1)"/>
      <w:numFmt w:val="lowerLetter"/>
      <w:start w:val="1"/>
    </w:lvl>
    <w:lvl w:ilvl="1">
      <w:lvlJc w:val="left"/>
      <w:lvlText w:val="%2"/>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2"/>
    </w:lvl>
  </w:abstractNum>
  <w:abstractNum w:abstractNumId="12">
    <w:nsid w:val="189A769B"/>
    <w:multiLevelType w:val="hybridMultilevel"/>
    <w:lvl w:ilvl="0">
      <w:lvlJc w:val="left"/>
      <w:lvlText w:val="%1"/>
      <w:numFmt w:val="lowerLetter"/>
      <w:start w:val="1"/>
    </w:lvl>
    <w:lvl w:ilvl="1">
      <w:lvlJc w:val="left"/>
      <w:lvlText w:val="(%2)"/>
      <w:numFmt w:val="decimal"/>
      <w:start w:val="14"/>
    </w:lvl>
  </w:abstractNum>
  <w:abstractNum w:abstractNumId="13">
    <w:nsid w:val="54E49EB4"/>
    <w:multiLevelType w:val="hybridMultilevel"/>
    <w:lvl w:ilvl="0">
      <w:lvlJc w:val="left"/>
      <w:lvlText w:val="(%1)"/>
      <w:numFmt w:val="lowerLetter"/>
      <w:start w:val="3"/>
    </w:lvl>
    <w:lvl w:ilvl="1">
      <w:lvlJc w:val="left"/>
      <w:lvlText w:val="%2"/>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3"/>
    </w:lvl>
  </w:abstractNum>
  <w:abstractNum w:abstractNumId="16">
    <w:nsid w:val="836C40E"/>
    <w:multiLevelType w:val="hybridMultilevel"/>
    <w:lvl w:ilvl="0">
      <w:lvlJc w:val="left"/>
      <w:lvlText w:val="(%1)"/>
      <w:numFmt w:val="decimal"/>
      <w:start w:val="5"/>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lowerLetter"/>
      <w:start w:val="1"/>
    </w:lvl>
    <w:lvl w:ilvl="1">
      <w:lvlJc w:val="left"/>
      <w:lvlText w:val="(%2)"/>
      <w:numFmt w:val="decimal"/>
      <w:start w:val="14"/>
    </w:lvl>
  </w:abstractNum>
  <w:abstractNum w:abstractNumId="20">
    <w:nsid w:val="1E7FF521"/>
    <w:multiLevelType w:val="hybridMultilevel"/>
    <w:lvl w:ilvl="0">
      <w:lvlJc w:val="left"/>
      <w:lvlText w:val="(%1)"/>
      <w:numFmt w:val="lowerLetter"/>
      <w:start w:val="5"/>
    </w:lvl>
    <w:lvl w:ilvl="1">
      <w:lvlJc w:val="left"/>
      <w:lvlText w:val="%2"/>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1)"/>
      <w:numFmt w:val="decimal"/>
      <w:start w:val="5"/>
    </w:lvl>
  </w:abstractNum>
  <w:abstractNum w:abstractNumId="24">
    <w:nsid w:val="22221A70"/>
    <w:multiLevelType w:val="hybridMultilevel"/>
    <w:lvl w:ilvl="0">
      <w:lvlJc w:val="left"/>
      <w:lvlText w:val="(%1)"/>
      <w:numFmt w:val="decimal"/>
      <w:start w:val="9"/>
    </w:lvl>
  </w:abstractNum>
  <w:abstractNum w:abstractNumId="25">
    <w:nsid w:val="4516DDE9"/>
    <w:multiLevelType w:val="hybridMultilevel"/>
    <w:lvl w:ilvl="0">
      <w:lvlJc w:val="left"/>
      <w:lvlText w:val="(%1)"/>
      <w:numFmt w:val="decimal"/>
      <w:start w:val="11"/>
    </w:lvl>
  </w:abstractNum>
  <w:abstractNum w:abstractNumId="26">
    <w:nsid w:val="3006C83E"/>
    <w:multiLevelType w:val="hybridMultilevel"/>
    <w:lvl w:ilvl="0">
      <w:lvlJc w:val="left"/>
      <w:lvlText w:val="(%1)"/>
      <w:numFmt w:val="decimal"/>
      <w:start w:val="12"/>
    </w:lvl>
  </w:abstractNum>
  <w:abstractNum w:abstractNumId="27">
    <w:nsid w:val="614FD4A1"/>
    <w:multiLevelType w:val="hybridMultilevel"/>
    <w:lvl w:ilvl="0">
      <w:lvlJc w:val="left"/>
      <w:lvlText w:val="%1"/>
      <w:numFmt w:val="lowerLetter"/>
      <w:start w:val="1"/>
    </w:lvl>
    <w:lvl w:ilvl="1">
      <w:lvlJc w:val="left"/>
      <w:lvlText w:val="(%2)"/>
      <w:numFmt w:val="decimal"/>
      <w:start w:val="14"/>
    </w:lvl>
  </w:abstractNum>
  <w:abstractNum w:abstractNumId="28">
    <w:nsid w:val="419AC241"/>
    <w:multiLevelType w:val="hybridMultilevel"/>
    <w:lvl w:ilvl="0">
      <w:lvlJc w:val="left"/>
      <w:lvlText w:val="(%1)"/>
      <w:numFmt w:val="lowerLetter"/>
      <w:start w:val="7"/>
    </w:lvl>
    <w:lvl w:ilvl="1">
      <w:lvlJc w:val="left"/>
      <w:lvlText w:val="%2"/>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decimal"/>
      <w:start w:val="5"/>
    </w:lvl>
  </w:abstractNum>
  <w:abstractNum w:abstractNumId="32">
    <w:nsid w:val="3804823E"/>
    <w:multiLevelType w:val="hybridMultilevel"/>
    <w:lvl w:ilvl="0">
      <w:lvlJc w:val="left"/>
      <w:lvlText w:val="(%1)"/>
      <w:numFmt w:val="decimal"/>
      <w:start w:val="11"/>
    </w:lvl>
  </w:abstractNum>
  <w:abstractNum w:abstractNumId="33">
    <w:nsid w:val="77465F01"/>
    <w:multiLevelType w:val="hybridMultilevel"/>
    <w:lvl w:ilvl="0">
      <w:lvlJc w:val="left"/>
      <w:lvlText w:val="(%1)"/>
      <w:numFmt w:val="decimal"/>
      <w:start w:val="12"/>
    </w:lvl>
  </w:abstractNum>
  <w:abstractNum w:abstractNumId="34">
    <w:nsid w:val="7724C67E"/>
    <w:multiLevelType w:val="hybridMultilevel"/>
    <w:lvl w:ilvl="0">
      <w:lvlJc w:val="left"/>
      <w:lvlText w:val="%1"/>
      <w:numFmt w:val="lowerLetter"/>
      <w:start w:val="1"/>
    </w:lvl>
    <w:lvl w:ilvl="1">
      <w:lvlJc w:val="left"/>
      <w:lvlText w:val="(%2)"/>
      <w:numFmt w:val="decimal"/>
      <w:start w:val="14"/>
    </w:lvl>
  </w:abstractNum>
  <w:abstractNum w:abstractNumId="35">
    <w:nsid w:val="5C482A97"/>
    <w:multiLevelType w:val="hybridMultilevel"/>
    <w:lvl w:ilvl="0">
      <w:lvlJc w:val="left"/>
      <w:lvlText w:val="(%1)"/>
      <w:numFmt w:val="lowerLetter"/>
      <w:start w:val="10"/>
    </w:lvl>
    <w:lvl w:ilvl="1">
      <w:lvlJc w:val="left"/>
      <w:lvlText w:val="%2"/>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2019-12-07T18:42:33Z</dcterms:created>
  <dcterms:modified xsi:type="dcterms:W3CDTF">2019-12-07T18:42:33Z</dcterms:modified>
</cp:coreProperties>
</file>