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December 22, 2015.</w:t>
      </w:r>
    </w:p>
    <w:p>
      <w:pPr>
        <w:spacing w:after="0" w:line="204" w:lineRule="exact"/>
        <w:rPr>
          <w:sz w:val="24"/>
          <w:szCs w:val="24"/>
          <w:color w:val="auto"/>
        </w:rPr>
      </w:pPr>
    </w:p>
    <w:p>
      <w:pPr>
        <w:ind w:left="98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128270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S-3</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REGISTRATION STATEMENT</w:t>
      </w:r>
    </w:p>
    <w:p>
      <w:pPr>
        <w:jc w:val="center"/>
        <w:ind w:right="-119"/>
        <w:spacing w:after="0" w:line="221" w:lineRule="auto"/>
        <w:rPr>
          <w:sz w:val="20"/>
          <w:szCs w:val="20"/>
          <w:color w:val="auto"/>
        </w:rPr>
      </w:pPr>
      <w:r>
        <w:rPr>
          <w:rFonts w:ascii="Arial" w:cs="Arial" w:eastAsia="Arial" w:hAnsi="Arial"/>
          <w:sz w:val="14"/>
          <w:szCs w:val="14"/>
          <w:b w:val="1"/>
          <w:bCs w:val="1"/>
          <w:color w:val="auto"/>
        </w:rPr>
        <w:t>UNDER</w:t>
      </w:r>
    </w:p>
    <w:p>
      <w:pPr>
        <w:jc w:val="center"/>
        <w:ind w:right="-1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ESPERION THERAPEUTICS, INC.</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1960" w:type="dxa"/>
            <w:vAlign w:val="bottom"/>
          </w:tcPr>
          <w:p>
            <w:pPr>
              <w:jc w:val="center"/>
              <w:ind w:right="252"/>
              <w:spacing w:after="0"/>
              <w:rPr>
                <w:sz w:val="20"/>
                <w:szCs w:val="20"/>
                <w:color w:val="auto"/>
              </w:rPr>
            </w:pPr>
            <w:r>
              <w:rPr>
                <w:rFonts w:ascii="Arial" w:cs="Arial" w:eastAsia="Arial" w:hAnsi="Arial"/>
                <w:sz w:val="14"/>
                <w:szCs w:val="14"/>
                <w:b w:val="1"/>
                <w:bCs w:val="1"/>
                <w:color w:val="auto"/>
                <w:w w:val="91"/>
              </w:rPr>
              <w:t>Delaware</w:t>
            </w:r>
          </w:p>
        </w:tc>
        <w:tc>
          <w:tcPr>
            <w:tcW w:w="1600" w:type="dxa"/>
            <w:vAlign w:val="bottom"/>
          </w:tcPr>
          <w:p>
            <w:pPr>
              <w:jc w:val="center"/>
              <w:ind w:left="272"/>
              <w:spacing w:after="0"/>
              <w:rPr>
                <w:sz w:val="20"/>
                <w:szCs w:val="20"/>
                <w:color w:val="auto"/>
              </w:rPr>
            </w:pPr>
            <w:r>
              <w:rPr>
                <w:rFonts w:ascii="Arial" w:cs="Arial" w:eastAsia="Arial" w:hAnsi="Arial"/>
                <w:sz w:val="14"/>
                <w:szCs w:val="14"/>
                <w:b w:val="1"/>
                <w:bCs w:val="1"/>
                <w:color w:val="auto"/>
                <w:w w:val="88"/>
              </w:rPr>
              <w:t>26-1870780</w:t>
            </w:r>
          </w:p>
        </w:tc>
      </w:tr>
      <w:tr>
        <w:trPr>
          <w:trHeight w:val="149"/>
        </w:trPr>
        <w:tc>
          <w:tcPr>
            <w:tcW w:w="196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600" w:type="dxa"/>
            <w:vAlign w:val="bottom"/>
          </w:tcPr>
          <w:p>
            <w:pPr>
              <w:jc w:val="center"/>
              <w:ind w:left="2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960" w:type="dxa"/>
            <w:vAlign w:val="bottom"/>
          </w:tcPr>
          <w:p>
            <w:pPr>
              <w:jc w:val="center"/>
              <w:ind w:right="252"/>
              <w:spacing w:after="0"/>
              <w:rPr>
                <w:sz w:val="20"/>
                <w:szCs w:val="20"/>
                <w:color w:val="auto"/>
              </w:rPr>
            </w:pPr>
            <w:r>
              <w:rPr>
                <w:rFonts w:ascii="Arial" w:cs="Arial" w:eastAsia="Arial" w:hAnsi="Arial"/>
                <w:sz w:val="14"/>
                <w:szCs w:val="14"/>
                <w:color w:val="auto"/>
                <w:w w:val="90"/>
              </w:rPr>
              <w:t>incorporation or organization)</w:t>
            </w:r>
          </w:p>
        </w:tc>
        <w:tc>
          <w:tcPr>
            <w:tcW w:w="1600" w:type="dxa"/>
            <w:vAlign w:val="bottom"/>
          </w:tcPr>
          <w:p>
            <w:pPr>
              <w:jc w:val="center"/>
              <w:ind w:left="272"/>
              <w:spacing w:after="0"/>
              <w:rPr>
                <w:sz w:val="20"/>
                <w:szCs w:val="20"/>
                <w:color w:val="auto"/>
              </w:rPr>
            </w:pPr>
            <w:r>
              <w:rPr>
                <w:rFonts w:ascii="Arial" w:cs="Arial" w:eastAsia="Arial" w:hAnsi="Arial"/>
                <w:sz w:val="14"/>
                <w:szCs w:val="14"/>
                <w:color w:val="auto"/>
                <w:w w:val="91"/>
              </w:rPr>
              <w:t>Identification Number)</w:t>
            </w:r>
          </w:p>
        </w:tc>
      </w:tr>
    </w:tbl>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3891 Ranchero Drive, Suite 150</w:t>
      </w:r>
    </w:p>
    <w:p>
      <w:pPr>
        <w:jc w:val="center"/>
        <w:ind w:right="-119"/>
        <w:spacing w:after="0" w:line="223" w:lineRule="auto"/>
        <w:rPr>
          <w:sz w:val="20"/>
          <w:szCs w:val="20"/>
          <w:color w:val="auto"/>
        </w:rPr>
      </w:pPr>
      <w:r>
        <w:rPr>
          <w:rFonts w:ascii="Arial" w:cs="Arial" w:eastAsia="Arial" w:hAnsi="Arial"/>
          <w:sz w:val="14"/>
          <w:szCs w:val="14"/>
          <w:b w:val="1"/>
          <w:bCs w:val="1"/>
          <w:color w:val="auto"/>
        </w:rPr>
        <w:t>Ann Arbor, MI 48108</w:t>
      </w:r>
    </w:p>
    <w:p>
      <w:pPr>
        <w:jc w:val="center"/>
        <w:ind w:right="-119"/>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(734) 887-3903</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Tim M. Mayleben</w:t>
      </w:r>
    </w:p>
    <w:p>
      <w:pPr>
        <w:jc w:val="center"/>
        <w:ind w:right="-11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19"/>
        <w:spacing w:after="0" w:line="222" w:lineRule="auto"/>
        <w:rPr>
          <w:sz w:val="20"/>
          <w:szCs w:val="20"/>
          <w:color w:val="auto"/>
        </w:rPr>
      </w:pPr>
      <w:r>
        <w:rPr>
          <w:rFonts w:ascii="Arial" w:cs="Arial" w:eastAsia="Arial" w:hAnsi="Arial"/>
          <w:sz w:val="14"/>
          <w:szCs w:val="14"/>
          <w:b w:val="1"/>
          <w:bCs w:val="1"/>
          <w:color w:val="auto"/>
        </w:rPr>
        <w:t>Esperion Therapeutics, Inc.</w:t>
      </w:r>
    </w:p>
    <w:p>
      <w:pPr>
        <w:jc w:val="center"/>
        <w:ind w:right="-119"/>
        <w:spacing w:after="0" w:line="221" w:lineRule="auto"/>
        <w:rPr>
          <w:sz w:val="20"/>
          <w:szCs w:val="20"/>
          <w:color w:val="auto"/>
        </w:rPr>
      </w:pPr>
      <w:r>
        <w:rPr>
          <w:rFonts w:ascii="Arial" w:cs="Arial" w:eastAsia="Arial" w:hAnsi="Arial"/>
          <w:sz w:val="14"/>
          <w:szCs w:val="14"/>
          <w:b w:val="1"/>
          <w:bCs w:val="1"/>
          <w:color w:val="auto"/>
        </w:rPr>
        <w:t>3891 Ranchero Drive, Suite 150</w:t>
      </w:r>
    </w:p>
    <w:p>
      <w:pPr>
        <w:jc w:val="center"/>
        <w:ind w:right="-119"/>
        <w:spacing w:after="0" w:line="222" w:lineRule="auto"/>
        <w:rPr>
          <w:sz w:val="20"/>
          <w:szCs w:val="20"/>
          <w:color w:val="auto"/>
        </w:rPr>
      </w:pPr>
      <w:r>
        <w:rPr>
          <w:rFonts w:ascii="Arial" w:cs="Arial" w:eastAsia="Arial" w:hAnsi="Arial"/>
          <w:sz w:val="14"/>
          <w:szCs w:val="14"/>
          <w:b w:val="1"/>
          <w:bCs w:val="1"/>
          <w:color w:val="auto"/>
        </w:rPr>
        <w:t>Ann Arbor, MI 48108</w:t>
      </w:r>
    </w:p>
    <w:p>
      <w:pPr>
        <w:jc w:val="center"/>
        <w:ind w:right="-119"/>
        <w:spacing w:after="0" w:line="221" w:lineRule="auto"/>
        <w:rPr>
          <w:sz w:val="20"/>
          <w:szCs w:val="20"/>
          <w:color w:val="auto"/>
        </w:rPr>
      </w:pPr>
      <w:r>
        <w:rPr>
          <w:rFonts w:ascii="Arial" w:cs="Arial" w:eastAsia="Arial" w:hAnsi="Arial"/>
          <w:sz w:val="14"/>
          <w:szCs w:val="14"/>
          <w:b w:val="1"/>
          <w:bCs w:val="1"/>
          <w:color w:val="auto"/>
        </w:rPr>
        <w:t>(734) 887-3903</w:t>
      </w: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With copies to:</w:t>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Mitchell S. Bloom, Esq.</w:t>
      </w:r>
    </w:p>
    <w:p>
      <w:pPr>
        <w:jc w:val="center"/>
        <w:ind w:right="-119"/>
        <w:spacing w:after="0" w:line="223" w:lineRule="auto"/>
        <w:rPr>
          <w:sz w:val="20"/>
          <w:szCs w:val="20"/>
          <w:color w:val="auto"/>
        </w:rPr>
      </w:pPr>
      <w:r>
        <w:rPr>
          <w:rFonts w:ascii="Arial" w:cs="Arial" w:eastAsia="Arial" w:hAnsi="Arial"/>
          <w:sz w:val="14"/>
          <w:szCs w:val="14"/>
          <w:b w:val="1"/>
          <w:bCs w:val="1"/>
          <w:color w:val="auto"/>
        </w:rPr>
        <w:t>Arthur R. McGivern, Esq.</w:t>
      </w:r>
    </w:p>
    <w:p>
      <w:pPr>
        <w:jc w:val="center"/>
        <w:ind w:right="-119"/>
        <w:spacing w:after="0" w:line="222" w:lineRule="auto"/>
        <w:rPr>
          <w:sz w:val="20"/>
          <w:szCs w:val="20"/>
          <w:color w:val="auto"/>
        </w:rPr>
      </w:pPr>
      <w:r>
        <w:rPr>
          <w:rFonts w:ascii="Arial" w:cs="Arial" w:eastAsia="Arial" w:hAnsi="Arial"/>
          <w:sz w:val="14"/>
          <w:szCs w:val="14"/>
          <w:b w:val="1"/>
          <w:bCs w:val="1"/>
          <w:color w:val="auto"/>
        </w:rPr>
        <w:t>Goodwin Procter LLP</w:t>
      </w:r>
    </w:p>
    <w:p>
      <w:pPr>
        <w:jc w:val="center"/>
        <w:ind w:right="-119"/>
        <w:spacing w:after="0" w:line="221" w:lineRule="auto"/>
        <w:rPr>
          <w:sz w:val="20"/>
          <w:szCs w:val="20"/>
          <w:color w:val="auto"/>
        </w:rPr>
      </w:pPr>
      <w:r>
        <w:rPr>
          <w:rFonts w:ascii="Arial" w:cs="Arial" w:eastAsia="Arial" w:hAnsi="Arial"/>
          <w:sz w:val="14"/>
          <w:szCs w:val="14"/>
          <w:b w:val="1"/>
          <w:bCs w:val="1"/>
          <w:color w:val="auto"/>
        </w:rPr>
        <w:t>Exchange Place</w:t>
      </w:r>
    </w:p>
    <w:p>
      <w:pPr>
        <w:jc w:val="center"/>
        <w:ind w:right="-119"/>
        <w:spacing w:after="0" w:line="222" w:lineRule="auto"/>
        <w:rPr>
          <w:sz w:val="20"/>
          <w:szCs w:val="20"/>
          <w:color w:val="auto"/>
        </w:rPr>
      </w:pPr>
      <w:r>
        <w:rPr>
          <w:rFonts w:ascii="Arial" w:cs="Arial" w:eastAsia="Arial" w:hAnsi="Arial"/>
          <w:sz w:val="14"/>
          <w:szCs w:val="14"/>
          <w:b w:val="1"/>
          <w:bCs w:val="1"/>
          <w:color w:val="auto"/>
        </w:rPr>
        <w:t>Boston, MA 02109</w:t>
      </w:r>
    </w:p>
    <w:p>
      <w:pPr>
        <w:jc w:val="center"/>
        <w:ind w:right="-119"/>
        <w:spacing w:after="0"/>
        <w:rPr>
          <w:sz w:val="20"/>
          <w:szCs w:val="20"/>
          <w:color w:val="auto"/>
        </w:rPr>
      </w:pPr>
      <w:r>
        <w:rPr>
          <w:rFonts w:ascii="Arial" w:cs="Arial" w:eastAsia="Arial" w:hAnsi="Arial"/>
          <w:sz w:val="14"/>
          <w:szCs w:val="14"/>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after this Registration Statement becomes effective.</w:t>
      </w:r>
    </w:p>
    <w:p>
      <w:pPr>
        <w:spacing w:after="0" w:line="206" w:lineRule="exact"/>
        <w:rPr>
          <w:sz w:val="24"/>
          <w:szCs w:val="24"/>
          <w:color w:val="auto"/>
        </w:rPr>
      </w:pPr>
    </w:p>
    <w:p>
      <w:pPr>
        <w:ind w:left="440"/>
        <w:spacing w:after="0"/>
        <w:tabs>
          <w:tab w:leader="none" w:pos="876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4"/>
          <w:szCs w:val="14"/>
          <w:color w:val="auto"/>
        </w:rPr>
        <w:t>o</w:t>
      </w:r>
    </w:p>
    <w:p>
      <w:pPr>
        <w:spacing w:after="0" w:line="204" w:lineRule="exact"/>
        <w:rPr>
          <w:sz w:val="24"/>
          <w:szCs w:val="24"/>
          <w:color w:val="auto"/>
        </w:rPr>
      </w:pPr>
    </w:p>
    <w:p>
      <w:pPr>
        <w:ind w:right="100" w:firstLine="439"/>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320" w:firstLine="439"/>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439"/>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439"/>
        <w:spacing w:after="0" w:line="239"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93" w:lineRule="exact"/>
        <w:rPr>
          <w:sz w:val="24"/>
          <w:szCs w:val="24"/>
          <w:color w:val="auto"/>
        </w:rPr>
      </w:pPr>
    </w:p>
    <w:p>
      <w:pPr>
        <w:ind w:right="460" w:firstLine="439"/>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ectPr>
          <w:pgSz w:w="11900" w:h="16843" w:orient="portrait"/>
          <w:cols w:equalWidth="0" w:num="1">
            <w:col w:w="11320"/>
          </w:cols>
          <w:pgMar w:left="240" w:top="685" w:right="339" w:bottom="0" w:gutter="0" w:footer="0" w:header="0"/>
        </w:sectPr>
      </w:pPr>
    </w:p>
    <w:bookmarkStart w:id="1" w:name="page2"/>
    <w:bookmarkEnd w:id="1"/>
    <w:p>
      <w:pPr>
        <w:ind w:left="44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 and "smaller reporting company" in Rule 12b-2 of the Exchange Act. (Check one):</w:t>
      </w:r>
    </w:p>
    <w:p>
      <w:pPr>
        <w:spacing w:after="0" w:line="16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420" w:type="dxa"/>
            <w:vAlign w:val="bottom"/>
            <w:gridSpan w:val="2"/>
          </w:tcPr>
          <w:p>
            <w:pPr>
              <w:spacing w:after="0"/>
              <w:rPr>
                <w:sz w:val="20"/>
                <w:szCs w:val="20"/>
                <w:color w:val="auto"/>
              </w:rPr>
            </w:pPr>
            <w:r>
              <w:rPr>
                <w:rFonts w:ascii="Arial" w:cs="Arial" w:eastAsia="Arial" w:hAnsi="Arial"/>
                <w:sz w:val="14"/>
                <w:szCs w:val="14"/>
                <w:color w:val="auto"/>
              </w:rPr>
              <w:t>Large accelerated</w:t>
            </w:r>
          </w:p>
        </w:tc>
        <w:tc>
          <w:tcPr>
            <w:tcW w:w="1500" w:type="dxa"/>
            <w:vAlign w:val="bottom"/>
            <w:gridSpan w:val="2"/>
          </w:tcPr>
          <w:p>
            <w:pPr>
              <w:jc w:val="center"/>
              <w:ind w:right="474"/>
              <w:spacing w:after="0"/>
              <w:rPr>
                <w:sz w:val="20"/>
                <w:szCs w:val="20"/>
                <w:color w:val="auto"/>
              </w:rPr>
            </w:pPr>
            <w:r>
              <w:rPr>
                <w:rFonts w:ascii="Arial" w:cs="Arial" w:eastAsia="Arial" w:hAnsi="Arial"/>
                <w:sz w:val="14"/>
                <w:szCs w:val="14"/>
                <w:color w:val="auto"/>
                <w:w w:val="86"/>
              </w:rPr>
              <w:t>Accelerated</w:t>
            </w:r>
          </w:p>
        </w:tc>
        <w:tc>
          <w:tcPr>
            <w:tcW w:w="3600" w:type="dxa"/>
            <w:vAlign w:val="bottom"/>
            <w:gridSpan w:val="3"/>
          </w:tcPr>
          <w:p>
            <w:pPr>
              <w:jc w:val="center"/>
              <w:ind w:right="538"/>
              <w:spacing w:after="0"/>
              <w:rPr>
                <w:sz w:val="20"/>
                <w:szCs w:val="20"/>
                <w:color w:val="auto"/>
              </w:rPr>
            </w:pPr>
            <w:r>
              <w:rPr>
                <w:rFonts w:ascii="Arial" w:cs="Arial" w:eastAsia="Arial" w:hAnsi="Arial"/>
                <w:sz w:val="14"/>
                <w:szCs w:val="14"/>
                <w:color w:val="auto"/>
                <w:w w:val="88"/>
              </w:rPr>
              <w:t>Non-accelerated filer o</w:t>
            </w:r>
          </w:p>
        </w:tc>
        <w:tc>
          <w:tcPr>
            <w:tcW w:w="1200" w:type="dxa"/>
            <w:vAlign w:val="bottom"/>
          </w:tcPr>
          <w:p>
            <w:pPr>
              <w:jc w:val="center"/>
              <w:ind w:left="114"/>
              <w:spacing w:after="0"/>
              <w:rPr>
                <w:sz w:val="20"/>
                <w:szCs w:val="20"/>
                <w:color w:val="auto"/>
              </w:rPr>
            </w:pPr>
            <w:r>
              <w:rPr>
                <w:rFonts w:ascii="Arial" w:cs="Arial" w:eastAsia="Arial" w:hAnsi="Arial"/>
                <w:sz w:val="14"/>
                <w:szCs w:val="14"/>
                <w:color w:val="auto"/>
                <w:w w:val="88"/>
              </w:rPr>
              <w:t>Smaller reporting</w:t>
            </w:r>
          </w:p>
        </w:tc>
      </w:tr>
      <w:tr>
        <w:trPr>
          <w:trHeight w:val="165"/>
        </w:trPr>
        <w:tc>
          <w:tcPr>
            <w:tcW w:w="60" w:type="dxa"/>
            <w:vAlign w:val="bottom"/>
          </w:tcPr>
          <w:p>
            <w:pPr>
              <w:spacing w:after="0"/>
              <w:rPr>
                <w:sz w:val="14"/>
                <w:szCs w:val="14"/>
                <w:color w:val="auto"/>
              </w:rPr>
            </w:pPr>
          </w:p>
        </w:tc>
        <w:tc>
          <w:tcPr>
            <w:tcW w:w="2360" w:type="dxa"/>
            <w:vAlign w:val="bottom"/>
          </w:tcPr>
          <w:p>
            <w:pPr>
              <w:ind w:left="240"/>
              <w:spacing w:after="0"/>
              <w:rPr>
                <w:sz w:val="20"/>
                <w:szCs w:val="20"/>
                <w:color w:val="auto"/>
              </w:rPr>
            </w:pPr>
            <w:r>
              <w:rPr>
                <w:rFonts w:ascii="Arial" w:cs="Arial" w:eastAsia="Arial" w:hAnsi="Arial"/>
                <w:sz w:val="14"/>
                <w:szCs w:val="14"/>
                <w:color w:val="auto"/>
              </w:rPr>
              <w:t>filer o</w:t>
            </w:r>
          </w:p>
        </w:tc>
        <w:tc>
          <w:tcPr>
            <w:tcW w:w="1500" w:type="dxa"/>
            <w:vAlign w:val="bottom"/>
            <w:gridSpan w:val="2"/>
          </w:tcPr>
          <w:p>
            <w:pPr>
              <w:jc w:val="center"/>
              <w:ind w:right="454"/>
              <w:spacing w:after="0" w:line="161" w:lineRule="exact"/>
              <w:rPr>
                <w:sz w:val="20"/>
                <w:szCs w:val="20"/>
                <w:color w:val="auto"/>
              </w:rPr>
            </w:pPr>
            <w:r>
              <w:rPr>
                <w:rFonts w:ascii="Arial" w:cs="Arial" w:eastAsia="Arial" w:hAnsi="Arial"/>
                <w:sz w:val="14"/>
                <w:szCs w:val="14"/>
                <w:color w:val="auto"/>
                <w:w w:val="93"/>
              </w:rPr>
              <w:t xml:space="preserve">filer </w:t>
            </w:r>
            <w:r>
              <w:rPr>
                <w:rFonts w:ascii="MS PGothic" w:cs="MS PGothic" w:eastAsia="MS PGothic" w:hAnsi="MS PGothic"/>
                <w:sz w:val="14"/>
                <w:szCs w:val="14"/>
                <w:color w:val="auto"/>
                <w:w w:val="93"/>
              </w:rPr>
              <w:t>☒</w:t>
            </w:r>
          </w:p>
        </w:tc>
        <w:tc>
          <w:tcPr>
            <w:tcW w:w="3600" w:type="dxa"/>
            <w:vAlign w:val="bottom"/>
            <w:gridSpan w:val="3"/>
          </w:tcPr>
          <w:p>
            <w:pPr>
              <w:jc w:val="center"/>
              <w:ind w:right="518"/>
              <w:spacing w:after="0"/>
              <w:rPr>
                <w:sz w:val="20"/>
                <w:szCs w:val="20"/>
                <w:color w:val="auto"/>
              </w:rPr>
            </w:pPr>
            <w:r>
              <w:rPr>
                <w:rFonts w:ascii="Arial" w:cs="Arial" w:eastAsia="Arial" w:hAnsi="Arial"/>
                <w:sz w:val="14"/>
                <w:szCs w:val="14"/>
                <w:color w:val="auto"/>
                <w:w w:val="89"/>
              </w:rPr>
              <w:t>(Do not check if a</w:t>
            </w:r>
          </w:p>
        </w:tc>
        <w:tc>
          <w:tcPr>
            <w:tcW w:w="1200" w:type="dxa"/>
            <w:vAlign w:val="bottom"/>
          </w:tcPr>
          <w:p>
            <w:pPr>
              <w:jc w:val="center"/>
              <w:ind w:left="114"/>
              <w:spacing w:after="0"/>
              <w:rPr>
                <w:sz w:val="20"/>
                <w:szCs w:val="20"/>
                <w:color w:val="auto"/>
              </w:rPr>
            </w:pPr>
            <w:r>
              <w:rPr>
                <w:rFonts w:ascii="Arial" w:cs="Arial" w:eastAsia="Arial" w:hAnsi="Arial"/>
                <w:sz w:val="14"/>
                <w:szCs w:val="14"/>
                <w:color w:val="auto"/>
                <w:w w:val="84"/>
              </w:rPr>
              <w:t>company o</w:t>
            </w:r>
          </w:p>
        </w:tc>
      </w:tr>
      <w:tr>
        <w:trPr>
          <w:trHeight w:val="149"/>
        </w:trPr>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0" w:type="dxa"/>
            <w:vAlign w:val="bottom"/>
            <w:gridSpan w:val="3"/>
          </w:tcPr>
          <w:p>
            <w:pPr>
              <w:jc w:val="center"/>
              <w:ind w:right="518"/>
              <w:spacing w:after="0" w:line="149" w:lineRule="exact"/>
              <w:rPr>
                <w:sz w:val="20"/>
                <w:szCs w:val="20"/>
                <w:color w:val="auto"/>
              </w:rPr>
            </w:pPr>
            <w:r>
              <w:rPr>
                <w:rFonts w:ascii="Arial" w:cs="Arial" w:eastAsia="Arial" w:hAnsi="Arial"/>
                <w:sz w:val="14"/>
                <w:szCs w:val="14"/>
                <w:color w:val="auto"/>
                <w:w w:val="90"/>
              </w:rPr>
              <w:t>smaller reporting</w:t>
            </w:r>
          </w:p>
        </w:tc>
        <w:tc>
          <w:tcPr>
            <w:tcW w:w="120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jc w:val="center"/>
              <w:ind w:left="1133"/>
              <w:spacing w:after="0"/>
              <w:rPr>
                <w:sz w:val="20"/>
                <w:szCs w:val="20"/>
                <w:color w:val="auto"/>
              </w:rPr>
            </w:pPr>
            <w:r>
              <w:rPr>
                <w:rFonts w:ascii="Arial" w:cs="Arial" w:eastAsia="Arial" w:hAnsi="Arial"/>
                <w:sz w:val="14"/>
                <w:szCs w:val="14"/>
                <w:color w:val="auto"/>
                <w:w w:val="87"/>
              </w:rPr>
              <w:t>company)</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8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28"/>
        </w:trPr>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80" w:type="dxa"/>
            <w:vAlign w:val="bottom"/>
            <w:gridSpan w:val="2"/>
          </w:tcPr>
          <w:p>
            <w:pPr>
              <w:ind w:left="140"/>
              <w:spacing w:after="0"/>
              <w:rPr>
                <w:sz w:val="20"/>
                <w:szCs w:val="20"/>
                <w:color w:val="auto"/>
              </w:rPr>
            </w:pPr>
            <w:r>
              <w:rPr>
                <w:rFonts w:ascii="Arial" w:cs="Arial" w:eastAsia="Arial" w:hAnsi="Arial"/>
                <w:sz w:val="14"/>
                <w:szCs w:val="14"/>
                <w:b w:val="1"/>
                <w:bCs w:val="1"/>
                <w:color w:val="auto"/>
                <w:w w:val="98"/>
              </w:rPr>
              <w:t>CALCULATION OF REGISTRATION FEE</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6"/>
        </w:trPr>
        <w:tc>
          <w:tcPr>
            <w:tcW w:w="6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6"/>
        </w:trPr>
        <w:tc>
          <w:tcPr>
            <w:tcW w:w="60" w:type="dxa"/>
            <w:vAlign w:val="bottom"/>
          </w:tcPr>
          <w:p>
            <w:pPr>
              <w:spacing w:after="0"/>
              <w:rPr>
                <w:sz w:val="10"/>
                <w:szCs w:val="10"/>
                <w:color w:val="auto"/>
              </w:rPr>
            </w:pPr>
          </w:p>
        </w:tc>
        <w:tc>
          <w:tcPr>
            <w:tcW w:w="2360" w:type="dxa"/>
            <w:vAlign w:val="bottom"/>
          </w:tcPr>
          <w:p>
            <w:pPr>
              <w:ind w:left="380"/>
              <w:spacing w:after="0" w:line="117" w:lineRule="exact"/>
              <w:rPr>
                <w:sz w:val="20"/>
                <w:szCs w:val="20"/>
                <w:color w:val="auto"/>
              </w:rPr>
            </w:pPr>
            <w:r>
              <w:rPr>
                <w:rFonts w:ascii="Arial" w:cs="Arial" w:eastAsia="Arial" w:hAnsi="Arial"/>
                <w:sz w:val="12"/>
                <w:szCs w:val="12"/>
                <w:b w:val="1"/>
                <w:bCs w:val="1"/>
                <w:color w:val="auto"/>
              </w:rPr>
              <w:t>Title of Each Class of Securities</w:t>
            </w:r>
          </w:p>
        </w:tc>
        <w:tc>
          <w:tcPr>
            <w:tcW w:w="540" w:type="dxa"/>
            <w:vAlign w:val="bottom"/>
          </w:tcPr>
          <w:p>
            <w:pPr>
              <w:spacing w:after="0"/>
              <w:rPr>
                <w:sz w:val="10"/>
                <w:szCs w:val="10"/>
                <w:color w:val="auto"/>
              </w:rPr>
            </w:pPr>
          </w:p>
        </w:tc>
        <w:tc>
          <w:tcPr>
            <w:tcW w:w="960" w:type="dxa"/>
            <w:vAlign w:val="bottom"/>
          </w:tcPr>
          <w:p>
            <w:pPr>
              <w:ind w:left="20"/>
              <w:spacing w:after="0" w:line="117" w:lineRule="exact"/>
              <w:rPr>
                <w:sz w:val="20"/>
                <w:szCs w:val="20"/>
                <w:color w:val="auto"/>
              </w:rPr>
            </w:pPr>
            <w:r>
              <w:rPr>
                <w:rFonts w:ascii="Arial" w:cs="Arial" w:eastAsia="Arial" w:hAnsi="Arial"/>
                <w:sz w:val="12"/>
                <w:szCs w:val="12"/>
                <w:b w:val="1"/>
                <w:bCs w:val="1"/>
                <w:color w:val="auto"/>
              </w:rPr>
              <w:t>Amount to be</w:t>
            </w:r>
          </w:p>
        </w:tc>
        <w:tc>
          <w:tcPr>
            <w:tcW w:w="18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100" w:type="dxa"/>
            <w:vAlign w:val="bottom"/>
          </w:tcPr>
          <w:p>
            <w:pPr>
              <w:spacing w:after="0"/>
              <w:rPr>
                <w:sz w:val="10"/>
                <w:szCs w:val="10"/>
                <w:color w:val="auto"/>
              </w:rPr>
            </w:pPr>
          </w:p>
        </w:tc>
        <w:tc>
          <w:tcPr>
            <w:tcW w:w="1680" w:type="dxa"/>
            <w:vAlign w:val="bottom"/>
          </w:tcPr>
          <w:p>
            <w:pPr>
              <w:jc w:val="center"/>
              <w:ind w:right="98"/>
              <w:spacing w:after="0" w:line="117" w:lineRule="exact"/>
              <w:rPr>
                <w:sz w:val="20"/>
                <w:szCs w:val="20"/>
                <w:color w:val="auto"/>
              </w:rPr>
            </w:pPr>
            <w:r>
              <w:rPr>
                <w:rFonts w:ascii="Arial" w:cs="Arial" w:eastAsia="Arial" w:hAnsi="Arial"/>
                <w:sz w:val="12"/>
                <w:szCs w:val="12"/>
                <w:b w:val="1"/>
                <w:bCs w:val="1"/>
                <w:color w:val="auto"/>
              </w:rPr>
              <w:t>Proposed Maximum</w:t>
            </w:r>
          </w:p>
        </w:tc>
        <w:tc>
          <w:tcPr>
            <w:tcW w:w="1200" w:type="dxa"/>
            <w:vAlign w:val="bottom"/>
          </w:tcPr>
          <w:p>
            <w:pPr>
              <w:jc w:val="center"/>
              <w:ind w:left="34"/>
              <w:spacing w:after="0" w:line="117" w:lineRule="exact"/>
              <w:rPr>
                <w:sz w:val="20"/>
                <w:szCs w:val="20"/>
                <w:color w:val="auto"/>
              </w:rPr>
            </w:pPr>
            <w:r>
              <w:rPr>
                <w:rFonts w:ascii="Arial" w:cs="Arial" w:eastAsia="Arial" w:hAnsi="Arial"/>
                <w:sz w:val="12"/>
                <w:szCs w:val="12"/>
                <w:b w:val="1"/>
                <w:bCs w:val="1"/>
                <w:color w:val="auto"/>
              </w:rPr>
              <w:t>Amount of</w:t>
            </w:r>
          </w:p>
        </w:tc>
      </w:tr>
      <w:tr>
        <w:trPr>
          <w:trHeight w:val="182"/>
        </w:trPr>
        <w:tc>
          <w:tcPr>
            <w:tcW w:w="60" w:type="dxa"/>
            <w:vAlign w:val="bottom"/>
          </w:tcPr>
          <w:p>
            <w:pPr>
              <w:spacing w:after="0"/>
              <w:rPr>
                <w:sz w:val="15"/>
                <w:szCs w:val="15"/>
                <w:color w:val="auto"/>
              </w:rPr>
            </w:pPr>
          </w:p>
        </w:tc>
        <w:tc>
          <w:tcPr>
            <w:tcW w:w="23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to be Registered</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7"/>
              </w:rPr>
              <w:t>Registered(1)</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 Per Unit(2)</w:t>
            </w: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Aggregate Offering Price(3)</w:t>
            </w:r>
          </w:p>
        </w:tc>
        <w:tc>
          <w:tcPr>
            <w:tcW w:w="12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86"/>
              </w:rPr>
              <w:t>Registration Fee(4)</w:t>
            </w:r>
          </w:p>
        </w:tc>
      </w:tr>
      <w:tr>
        <w:trPr>
          <w:trHeight w:val="174"/>
        </w:trPr>
        <w:tc>
          <w:tcPr>
            <w:tcW w:w="60" w:type="dxa"/>
            <w:vAlign w:val="bottom"/>
          </w:tcPr>
          <w:p>
            <w:pPr>
              <w:spacing w:after="0"/>
              <w:rPr>
                <w:sz w:val="15"/>
                <w:szCs w:val="15"/>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Stock(5)</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69"/>
        </w:trPr>
        <w:tc>
          <w:tcPr>
            <w:tcW w:w="60" w:type="dxa"/>
            <w:vAlign w:val="bottom"/>
          </w:tcPr>
          <w:p>
            <w:pPr>
              <w:spacing w:after="0"/>
              <w:rPr>
                <w:sz w:val="14"/>
                <w:szCs w:val="1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Preferred Stock(6)</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Debt Securities(7)</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Warrants(8)</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Units(9)</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5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color w:val="auto"/>
              </w:rPr>
              <w:t>$250,000,000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N.A.</w:t>
            </w: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6"/>
              </w:rPr>
              <w:t>$250,000,000</w:t>
            </w:r>
          </w:p>
        </w:tc>
        <w:tc>
          <w:tcPr>
            <w:tcW w:w="120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color w:val="auto"/>
                <w:w w:val="86"/>
              </w:rPr>
              <w:t>$25,175</w:t>
            </w:r>
          </w:p>
        </w:tc>
      </w:tr>
      <w:tr>
        <w:trPr>
          <w:trHeight w:val="20"/>
        </w:trPr>
        <w:tc>
          <w:tcPr>
            <w:tcW w:w="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line="27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amount to be registered consists of up to $250,000,000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preferred stock, common stock, debt securities or units as may be issued upon exercise of warrants registered hereby, as the case may be. Any securities registered hereunder may be sold separately or as units with the other securities registered hereunder.</w:t>
      </w:r>
    </w:p>
    <w:p>
      <w:pPr>
        <w:spacing w:after="0" w:line="89" w:lineRule="exact"/>
        <w:rPr>
          <w:rFonts w:ascii="Arial" w:cs="Arial" w:eastAsia="Arial" w:hAnsi="Arial"/>
          <w:sz w:val="12"/>
          <w:szCs w:val="12"/>
          <w:color w:val="auto"/>
        </w:rPr>
      </w:pPr>
    </w:p>
    <w:p>
      <w:pPr>
        <w:ind w:left="540" w:right="16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per unit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111" w:lineRule="exact"/>
        <w:rPr>
          <w:rFonts w:ascii="Arial" w:cs="Arial" w:eastAsia="Arial" w:hAnsi="Arial"/>
          <w:sz w:val="14"/>
          <w:szCs w:val="14"/>
          <w:color w:val="auto"/>
        </w:rPr>
      </w:pPr>
    </w:p>
    <w:p>
      <w:pPr>
        <w:ind w:left="540" w:right="60" w:hanging="532"/>
        <w:spacing w:after="0" w:line="233"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computing the registration fee. No separate consideration will be received for (i) common stock or other securities of the registrant that may be issued upon conversion of, or in exchange for, convertible or exchangeable debt securities and/or preferred stock registered hereby, or (ii) preferred stock, common stock, debt securities or units that may be issued upon exercise of warrants registered hereby, as the case may be.</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registration fee has been calculated in accordance with Rule 457(o) under the Securities Act.</w:t>
      </w:r>
    </w:p>
    <w:p>
      <w:pPr>
        <w:spacing w:after="0" w:line="122" w:lineRule="exact"/>
        <w:rPr>
          <w:rFonts w:ascii="Arial" w:cs="Arial" w:eastAsia="Arial" w:hAnsi="Arial"/>
          <w:sz w:val="14"/>
          <w:szCs w:val="14"/>
          <w:color w:val="auto"/>
        </w:rPr>
      </w:pPr>
    </w:p>
    <w:p>
      <w:pPr>
        <w:ind w:left="540" w:right="30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spacing w:after="0" w:line="111" w:lineRule="exact"/>
        <w:rPr>
          <w:rFonts w:ascii="Arial" w:cs="Arial" w:eastAsia="Arial" w:hAnsi="Arial"/>
          <w:sz w:val="14"/>
          <w:szCs w:val="14"/>
          <w:color w:val="auto"/>
        </w:rPr>
      </w:pPr>
    </w:p>
    <w:p>
      <w:pPr>
        <w:ind w:left="540" w:right="28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Including such indeterminate principal amount of debt securities as may be issued from time to time at indeterminate prices or upon exercise of warrants registered hereby, as the case may be.</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Including such indeterminate number of warrants or other rights, including without limitation share purchase or subscription rights, as may be issued from time to time at indeterminate prices.</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Each unit will be issued under a unit agreement and will represent an interest in two or more securities, which may or may not be separable from one another.</w:t>
      </w:r>
    </w:p>
    <w:p>
      <w:pPr>
        <w:spacing w:after="0" w:line="202" w:lineRule="exact"/>
        <w:rPr>
          <w:sz w:val="20"/>
          <w:szCs w:val="20"/>
          <w:color w:val="auto"/>
        </w:rPr>
      </w:pPr>
    </w:p>
    <w:p>
      <w:pPr>
        <w:ind w:firstLine="439"/>
        <w:spacing w:after="0" w:line="23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FF404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DECEMBER 22,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160020</wp:posOffset>
            </wp:positionV>
            <wp:extent cx="2221230" cy="805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123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40" w:firstLine="348"/>
        <w:spacing w:after="0" w:line="294" w:lineRule="auto"/>
        <w:rPr>
          <w:sz w:val="20"/>
          <w:szCs w:val="20"/>
          <w:color w:val="auto"/>
        </w:rPr>
      </w:pPr>
      <w:r>
        <w:rPr>
          <w:rFonts w:ascii="Arial" w:cs="Arial" w:eastAsia="Arial" w:hAnsi="Arial"/>
          <w:sz w:val="16"/>
          <w:szCs w:val="16"/>
          <w:color w:val="auto"/>
        </w:rPr>
        <w:t>We may from time to time issue, in one or more series or classes, up to $250,000,000 in aggregate principal amount of our common stock, preferred stock, debt securities, warrants and/or units. We may offer these securities separately or together in units. We will specify in the accompanying prospectus supplement the terms of the securities being offered. We may sell these securities to or through underwriters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common stock is listed on the NASDAQ Global Market under the symbol "ESPR." On December 15, 2015, the closing price for our common stock, as reported on the NASDAQ Global Market, was $22.95 per share. Our principal executive offices are located at 3891 Ranchero Drive, Suite 150, Ann Arbor, MI 48108.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128905</wp:posOffset>
            </wp:positionV>
            <wp:extent cx="1895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60" w:firstLine="351"/>
        <w:spacing w:after="0" w:line="239" w:lineRule="auto"/>
        <w:rPr>
          <w:sz w:val="20"/>
          <w:szCs w:val="20"/>
          <w:color w:val="auto"/>
        </w:rPr>
      </w:pPr>
      <w:r>
        <w:rPr>
          <w:rFonts w:ascii="Arial" w:cs="Arial" w:eastAsia="Arial" w:hAnsi="Arial"/>
          <w:sz w:val="22"/>
          <w:szCs w:val="22"/>
          <w:b w:val="1"/>
          <w:bCs w:val="1"/>
          <w:color w:val="auto"/>
        </w:rPr>
        <w:t>Investing in our securities involves a high degree of risk. You should review carefully the risks and uncertainties described under the heading "Risk Factors" contained in this prospectus beginning on page 2 and any applicable prospectus supplement, and under similar headings in the other documents that are incorporated by reference into this prospectus.</w:t>
      </w:r>
    </w:p>
    <w:p>
      <w:pPr>
        <w:spacing w:after="0" w:line="194" w:lineRule="exact"/>
        <w:rPr>
          <w:sz w:val="20"/>
          <w:szCs w:val="20"/>
          <w:color w:val="auto"/>
        </w:rPr>
      </w:pPr>
    </w:p>
    <w:p>
      <w:pPr>
        <w:ind w:right="88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90805</wp:posOffset>
            </wp:positionV>
            <wp:extent cx="1895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60" w:type="dxa"/>
            <w:vAlign w:val="bottom"/>
          </w:tcPr>
          <w:p>
            <w:pPr>
              <w:ind w:left="3860"/>
              <w:spacing w:after="0"/>
              <w:rPr>
                <w:sz w:val="20"/>
                <w:szCs w:val="20"/>
                <w:color w:val="auto"/>
              </w:rPr>
            </w:pPr>
            <w:r>
              <w:rPr>
                <w:rFonts w:ascii="Arial" w:cs="Arial" w:eastAsia="Arial" w:hAnsi="Arial"/>
                <w:sz w:val="18"/>
                <w:szCs w:val="18"/>
                <w:b w:val="1"/>
                <w:bCs w:val="1"/>
                <w:color w:val="auto"/>
              </w:rPr>
              <w:t>The date of this Prospectus is</w:t>
            </w:r>
          </w:p>
        </w:tc>
        <w:tc>
          <w:tcPr>
            <w:tcW w:w="4860" w:type="dxa"/>
            <w:vAlign w:val="bottom"/>
          </w:tcPr>
          <w:p>
            <w:pPr>
              <w:jc w:val="right"/>
              <w:ind w:right="3752"/>
              <w:spacing w:after="0"/>
              <w:rPr>
                <w:sz w:val="20"/>
                <w:szCs w:val="20"/>
                <w:color w:val="auto"/>
              </w:rPr>
            </w:pPr>
            <w:r>
              <w:rPr>
                <w:rFonts w:ascii="Arial" w:cs="Arial" w:eastAsia="Arial" w:hAnsi="Arial"/>
                <w:sz w:val="18"/>
                <w:szCs w:val="18"/>
                <w:b w:val="1"/>
                <w:bCs w:val="1"/>
                <w:color w:val="auto"/>
              </w:rPr>
              <w:t>, 2015.</w:t>
            </w:r>
          </w:p>
        </w:tc>
      </w:tr>
      <w:tr>
        <w:trPr>
          <w:trHeight w:val="228"/>
        </w:trPr>
        <w:tc>
          <w:tcPr>
            <w:tcW w:w="656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560" w:type="dxa"/>
            <w:vAlign w:val="bottom"/>
            <w:gridSpan w:val="7"/>
            <w:vMerge w:val="restart"/>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About this Prospectus</w:t>
              </w:r>
            </w:hyperlink>
          </w:p>
        </w:tc>
        <w:tc>
          <w:tcPr>
            <w:tcW w:w="7000" w:type="dxa"/>
            <w:vAlign w:val="bottom"/>
            <w:gridSpan w:val="8"/>
            <w:vMerge w:val="restart"/>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560" w:type="dxa"/>
            <w:vAlign w:val="bottom"/>
            <w:tcBorders>
              <w:bottom w:val="single" w:sz="8" w:color="0000EE"/>
            </w:tcBorders>
            <w:gridSpan w:val="7"/>
            <w:vMerge w:val="continue"/>
          </w:tcPr>
          <w:p>
            <w:pPr>
              <w:spacing w:after="0"/>
              <w:rPr>
                <w:sz w:val="14"/>
                <w:szCs w:val="14"/>
                <w:color w:val="auto"/>
              </w:rPr>
            </w:pPr>
          </w:p>
        </w:tc>
        <w:tc>
          <w:tcPr>
            <w:tcW w:w="7000" w:type="dxa"/>
            <w:vAlign w:val="bottom"/>
            <w:gridSpan w:val="8"/>
            <w:vMerge w:val="continue"/>
          </w:tcPr>
          <w:p>
            <w:pPr>
              <w:spacing w:after="0"/>
              <w:rPr>
                <w:sz w:val="14"/>
                <w:szCs w:val="14"/>
                <w:color w:val="auto"/>
              </w:rPr>
            </w:pPr>
          </w:p>
        </w:tc>
        <w:tc>
          <w:tcPr>
            <w:tcW w:w="320" w:type="dxa"/>
            <w:vAlign w:val="bottom"/>
            <w:tcBorders>
              <w:top w:val="single" w:sz="8" w:color="auto"/>
            </w:tcBorders>
            <w:gridSpan w:val="2"/>
          </w:tcPr>
          <w:p>
            <w:pPr>
              <w:spacing w:after="0"/>
              <w:rPr>
                <w:sz w:val="14"/>
                <w:szCs w:val="14"/>
                <w:color w:val="auto"/>
              </w:rPr>
            </w:pPr>
          </w:p>
        </w:tc>
        <w:tc>
          <w:tcPr>
            <w:tcW w:w="100" w:type="dxa"/>
            <w:vAlign w:val="bottom"/>
            <w:tcBorders>
              <w:top w:val="single" w:sz="8" w:color="auto"/>
              <w:bottom w:val="single" w:sz="8" w:color="0000EE"/>
            </w:tcBorders>
          </w:tcPr>
          <w:p>
            <w:pPr>
              <w:jc w:val="right"/>
              <w:spacing w:after="0" w:line="170"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7660" w:type="dxa"/>
            <w:vAlign w:val="bottom"/>
            <w:gridSpan w:val="13"/>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4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Cautionary Statement Regarding Forward-Looking Statements</w:t>
              </w:r>
            </w:hyperlink>
          </w:p>
        </w:tc>
        <w:tc>
          <w:tcPr>
            <w:tcW w:w="414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The Company</w:t>
              </w:r>
            </w:hyperlink>
          </w:p>
        </w:tc>
        <w:tc>
          <w:tcPr>
            <w:tcW w:w="42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Ratio of Earnings to Fixed Charges</w:t>
              </w:r>
            </w:hyperlink>
          </w:p>
        </w:tc>
        <w:tc>
          <w:tcPr>
            <w:tcW w:w="42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Use of Proceeds</w:t>
              </w:r>
            </w:hyperlink>
          </w:p>
        </w:tc>
        <w:tc>
          <w:tcPr>
            <w:tcW w:w="1320" w:type="dxa"/>
            <w:vAlign w:val="bottom"/>
            <w:tcBorders>
              <w:top w:val="single" w:sz="8" w:color="0000EE"/>
            </w:tcBorders>
            <w:gridSpan w:val="8"/>
          </w:tcPr>
          <w:p>
            <w:pPr>
              <w:spacing w:after="0"/>
              <w:rPr>
                <w:sz w:val="24"/>
                <w:szCs w:val="24"/>
                <w:color w:val="auto"/>
              </w:rPr>
            </w:pPr>
          </w:p>
        </w:tc>
        <w:tc>
          <w:tcPr>
            <w:tcW w:w="6080" w:type="dxa"/>
            <w:vAlign w:val="bottom"/>
            <w:gridSpan w:val="3"/>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1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Securities We May Offer</w:t>
              </w:r>
            </w:hyperlink>
          </w:p>
        </w:tc>
        <w:tc>
          <w:tcPr>
            <w:tcW w:w="42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0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Description of Capital Stock</w:t>
              </w:r>
            </w:hyperlink>
          </w:p>
        </w:tc>
        <w:tc>
          <w:tcPr>
            <w:tcW w:w="6540" w:type="dxa"/>
            <w:vAlign w:val="bottom"/>
            <w:gridSpan w:val="5"/>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1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Description of Debt Securities</w:t>
              </w:r>
            </w:hyperlink>
          </w:p>
        </w:tc>
        <w:tc>
          <w:tcPr>
            <w:tcW w:w="42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Description of Warrants</w:t>
              </w:r>
            </w:hyperlink>
          </w:p>
        </w:tc>
        <w:tc>
          <w:tcPr>
            <w:tcW w:w="380" w:type="dxa"/>
            <w:vAlign w:val="bottom"/>
            <w:tcBorders>
              <w:top w:val="single" w:sz="8" w:color="0000EE"/>
            </w:tcBorders>
            <w:gridSpan w:val="3"/>
          </w:tcPr>
          <w:p>
            <w:pPr>
              <w:spacing w:after="0"/>
              <w:rPr>
                <w:sz w:val="24"/>
                <w:szCs w:val="24"/>
                <w:color w:val="auto"/>
              </w:rPr>
            </w:pPr>
          </w:p>
        </w:tc>
        <w:tc>
          <w:tcPr>
            <w:tcW w:w="642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27</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Description of Units</w:t>
              </w:r>
            </w:hyperlink>
          </w:p>
        </w:tc>
        <w:tc>
          <w:tcPr>
            <w:tcW w:w="42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40" w:type="dxa"/>
            <w:vAlign w:val="bottom"/>
            <w:tcBorders>
              <w:top w:val="single" w:sz="8" w:color="0000EE"/>
            </w:tcBorders>
            <w:gridSpan w:val="6"/>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Plan of Distribution</w:t>
              </w:r>
            </w:hyperlink>
          </w:p>
        </w:tc>
        <w:tc>
          <w:tcPr>
            <w:tcW w:w="712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0" w:type="dxa"/>
            <w:vAlign w:val="bottom"/>
            <w:tcBorders>
              <w:top w:val="single" w:sz="8" w:color="0000EE"/>
            </w:tcBorders>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Matters</w:t>
              </w:r>
            </w:hyperlink>
          </w:p>
        </w:tc>
        <w:tc>
          <w:tcPr>
            <w:tcW w:w="7160" w:type="dxa"/>
            <w:vAlign w:val="bottom"/>
            <w:gridSpan w:val="10"/>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000" w:type="dxa"/>
            <w:vAlign w:val="bottom"/>
            <w:tcBorders>
              <w:top w:val="single" w:sz="8" w:color="0000EE"/>
            </w:tcBorders>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7560" w:type="dxa"/>
            <w:vAlign w:val="bottom"/>
            <w:gridSpan w:val="12"/>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56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42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2800" w:type="dxa"/>
            <w:vAlign w:val="bottom"/>
            <w:tcBorders>
              <w:top w:val="single" w:sz="8" w:color="0000EE"/>
            </w:tcBorders>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Incorporation by Reference</w:t>
              </w:r>
            </w:hyperlink>
          </w:p>
        </w:tc>
        <w:tc>
          <w:tcPr>
            <w:tcW w:w="57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35</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40" w:type="dxa"/>
            <w:vAlign w:val="bottom"/>
            <w:tcBorders>
              <w:top w:val="single" w:sz="8" w:color="0000EE"/>
              <w:bottom w:val="single" w:sz="8" w:color="808080"/>
            </w:tcBorders>
          </w:tcPr>
          <w:p>
            <w:pPr>
              <w:spacing w:after="0"/>
              <w:rPr>
                <w:sz w:val="12"/>
                <w:szCs w:val="12"/>
                <w:color w:val="auto"/>
              </w:rPr>
            </w:pPr>
          </w:p>
        </w:tc>
        <w:tc>
          <w:tcPr>
            <w:tcW w:w="36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4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20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41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jc w:val="both"/>
        <w:ind w:right="540" w:firstLine="348"/>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35 of this prospectus.</w:t>
      </w:r>
    </w:p>
    <w:p>
      <w:pPr>
        <w:spacing w:after="0" w:line="167"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Unless the context otherwise indicates, references in this prospectus to "Esperion", "we", "our", "us" and "the Company" refer, collectively, to Esperion Therapeutics, Inc., a Delaware corporation.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Investing in our securities involves a high degree of risk. You should carefully consider the risks described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2014, which is on file with the SEC and is incorporated herein by reference, (ii) our quarterly reports on Form 10-Q for the quarter ended March 31, 2015,</w:t>
      </w:r>
    </w:p>
    <w:p>
      <w:pPr>
        <w:spacing w:after="0" w:line="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June 30, 2015 and September 30, 2015, which are incorporated by reference into this prospectus, and (iii) other documents we file with the SEC that are deemed incorporated by reference into this prospectus.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prospectus, including the documents that we incorporate by reference, contains forward-looking statements within the meaning of Section 27A of the Securities Act and Section 21E of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report, and in particular those factors referenced in the section "Risk Factors."</w:t>
      </w:r>
    </w:p>
    <w:p>
      <w:pPr>
        <w:spacing w:after="0" w:line="172"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210" w:lineRule="exact"/>
        <w:rPr>
          <w:sz w:val="20"/>
          <w:szCs w:val="20"/>
          <w:color w:val="auto"/>
        </w:rPr>
      </w:pPr>
    </w:p>
    <w:p>
      <w:pPr>
        <w:ind w:left="10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regulatory approval for ETC-1002, including statements related to specific clinical studies or clinical observations that will be required for such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outcome of our ongoing or future Phase 2 clinical studies of ETC-1002;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outcome of our future Phase 3 clinical studies of ETC-1002;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replicate positive results from a completed clinical study in a future clinical study;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fund our development programs with existing capital or our ability to raise additional capital in the future;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benefits, effectiveness or safety of ETC-1002, as compared to statins and other LDL-cholesterol, or LDL-C lowering therapies, either those currently available or those in development;</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respond and adhere to changes in regulatory requirements, including any requirement to conduct additional, unplanned clinical studies in connection with our pursuit of ETC-1002 as an LDL-C lowering therapy;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progress, timing and amount of costs associated with our development of ETC-1002;</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guidelines relating to LDL-C levels and cardiovascular risk that are generally accepted within the medical community, including recent changes and any future changes to such guidelines;</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reimbursement policies, including any future changes to such policies or related government legislation, and their impact on our ability to market, distribute and obtain payment for ETC-1002, if approved;</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estimates of the size and growth potential of the LDL-C lowering market and the rate and degree of ETC-1002's market acceptance, if approved;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ETC-1002 without infringing on the intellectual property rights of others;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intention to seek to establish strategic relationships or partnerships;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compete with other companies that are, or may be, developing or selling products that may compete with ETC-1002, if approved.</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pharmaceutical company focused on developing and commercializing first-in-class, oral LDL-C lowering therapies for the treatment of patients with hypercholesterolemia. ETC-1002, or bempedoic acid, our lead product candidate, is an inhibitor of ATP Citrate Lyase, or ACL, a well-characterized enzyme on the cholesterol biosynthesis pathway. ETC-1002 inhibits cholesterol synthesis, decreases intracellular cholesterol, up-regulates LDL-receptors, and causes increased LDL-C clearance and reduced plasma levels of LDL-C. ETC-1002 is being developed for patients with hypercholesterolemia. We held an End-of-Phase 2 meeting with the Food and Drug Administration, or the FDA, in August 2015. We intend to initiate a global long-term safety study for ETC-1002 by the end of 2015. We own the exclusive worldwide rights to ETC-1002.</w:t>
      </w:r>
    </w:p>
    <w:p>
      <w:pPr>
        <w:spacing w:after="0" w:line="17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Our principal executive offices are located at 3891 Ranchero Drive, Suite 150, Ann Arbor, MI 48108 and our telephone number is (734) 887-3903.</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following table sets forth our ratio of earnings to fixed charges for the periods shown. You should read this table in conjunction with the financial statements and notes incorporated by reference in this prospectus. We have no preferred shares outstanding and paid no dividends on preferred shares during the periods indicated. Therefore, the ratios of earnings to combined fixed charges and preferred dividends are the same as the ratios of earnings to fixed charges presented below.</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4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Years 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9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r>
      <w:tr>
        <w:trPr>
          <w:trHeight w:val="20"/>
        </w:trPr>
        <w:tc>
          <w:tcPr>
            <w:tcW w:w="49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For purposes of calculating the ratios in the table above, earnings consist of net loss before income taxes. Fixed charges include interest expense on indebtedness and an estimate of the interest expense within rental expense.</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did not record earnings for any of the years ending December 31, 2014, 2013 and 2012 or the nine months ended September 30, 2015. Accordingly, our earnings were insufficient to cover fixed charges for such periods and we are unable to disclose a ratio of earnings to fixed charges for such periods. The dollar amount of the deficiency in earnings available for fixed charges for the years ended December 31, 2014, 2013 and 2012 and the nine months ended September 30, 2015 was approximately $36.4 million, $26.1 million, $11.7 million and $36.7 million,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the acquisition or licensing of other products, businesses or technologies, repayment and refinancing of debt, working capital and capital expenditures.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WE MAY OFFER</w:t>
      </w:r>
    </w:p>
    <w:p>
      <w:pPr>
        <w:spacing w:after="0" w:line="231"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Charter and our By-Laws, which are exhibits to the registration statement of which this prospectus forms a part, and by applicable law. We refer in this section to our Charter as our certificate of incorporation, and we refer to our By-Laws as our by-laws. The terms of our common stock and preferred stock may also be affected by Delaware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authorized capital stock consists of 120,000,000 shares of common stock, par value $0.001 per share, and 5,000,000 shares of preferred stock, par value $0.001 per share. As of December 15, 2015, we had 22,518,907 shares of common stock outstanding and no shares of preferred stock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Holders of our common stock are entitled to one vote for each share held of record on all matters submitted to a vote of shareholders. Our Charter provides that our Board shall be divided into three nearly equal classes, with each class's term expiring on a staggered basis. Vacancies and newly created directorships may be filled by a majority of the directors then in office, though less than a quorum. Directors may be removed only for cause by the affirmative vote of the holders of at least seventy-five percent (75%) of the outstanding shares of capital stock entitled to vote generally in the election of directors. Shareholders do not have cumulative voting rights. Holders of common stock have no preemptive, redemption or conversion rights and are not subject to future calls or assessments. No sinking fund provisions apply to our common stock. All outstanding shares are fully-paid and non-assessable. In the event of our liquidation, dissolution or winding up, holders of common stock are entitled to share ratably in assets available for distribution, subject to any prior distribution rights of any preferred stock then outstanding. Holders of common stock are entitled to receive proportionately any such dividends declared by our Board, out of legally available funds for dividends, subject to any preferences that may be applicable to any shares of preferred stock that may be outstanding at that time. The rights, preferences and privileges of holders of common stock are subject to, and may be adversely affected by, the rights of the holders of shares of any series of preferred stock that we may designate and issue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Our common stock is listed on The NASDAQ Global Market under the symbol "ESPR." On December 15, 2015, the closing price for our common stock, as reported on the NASDAQ Global Market, was $22.95 per share. As of December 15, 2015, we had approximately 11 stockholders of record.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Board is authorized to issue up to 5,000,000 shares of preferred stock in one or more series without shareholder approval. Our Board may determine the rights, preferences, privileges and restrictions, including voting rights, dividend rights, conversion rights, redemption privileges and liquidation preferences, of each series of preferred stock.</w:t>
      </w:r>
    </w:p>
    <w:p>
      <w:pPr>
        <w:spacing w:after="0" w:line="194" w:lineRule="exact"/>
        <w:rPr>
          <w:sz w:val="20"/>
          <w:szCs w:val="20"/>
          <w:color w:val="auto"/>
        </w:rPr>
      </w:pPr>
    </w:p>
    <w:p>
      <w:pPr>
        <w:ind w:right="440" w:firstLine="348"/>
        <w:spacing w:after="0" w:line="370" w:lineRule="auto"/>
        <w:rPr>
          <w:sz w:val="20"/>
          <w:szCs w:val="20"/>
          <w:color w:val="auto"/>
        </w:rPr>
      </w:pPr>
      <w:r>
        <w:rPr>
          <w:rFonts w:ascii="Arial" w:cs="Arial" w:eastAsia="Arial" w:hAnsi="Arial"/>
          <w:sz w:val="15"/>
          <w:szCs w:val="15"/>
          <w:color w:val="auto"/>
        </w:rPr>
        <w:t>The purpose of authorizing our Board to issue preferred stock in one or more series and determine the number of shares in the series and its rights and preferences is to eliminate delays associated with a shareholder vote on specific issuances. Examples of rights and preferences that the Board may fix are:</w:t>
      </w:r>
    </w:p>
    <w:p>
      <w:pPr>
        <w:spacing w:after="0" w:line="130"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conversion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terms of redemption;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liquidation preferences.</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53"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have, or be subject to, any preemptive or similar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Anti-Takeover Law</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Certain provisions of the Delaware General Corporation Law and of our certificate of incorporation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Provisions of our Certificate of Incorporation and By-Laws</w:t>
      </w:r>
    </w:p>
    <w:p>
      <w:pPr>
        <w:spacing w:after="0" w:line="22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Our certificate of incorporation and by-laws include a number of provisions that may have the effect of delaying, deferring or discouraging another party from acquiring control of us and encouraging persons considering unsolicited tender offers or other unilateral takeover proposals to negotiate with</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Board rather than pursue non-negotiated takeover attempts. These provisions include the items described below.</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Board Composition and Filling Vacancies. </w:t>
      </w:r>
      <w:r>
        <w:rPr>
          <w:rFonts w:ascii="Arial" w:cs="Arial" w:eastAsia="Arial" w:hAnsi="Arial"/>
          <w:sz w:val="18"/>
          <w:szCs w:val="18"/>
          <w:color w:val="auto"/>
        </w:rPr>
        <w:t>Our certificate of incorporation provides that directors may be removed only for cause and then only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97"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No Written Consent of Stockholders. </w:t>
      </w:r>
      <w:r>
        <w:rPr>
          <w:rFonts w:ascii="Arial" w:cs="Arial" w:eastAsia="Arial" w:hAnsi="Arial"/>
          <w:sz w:val="16"/>
          <w:szCs w:val="16"/>
          <w:color w:val="auto"/>
        </w:rPr>
        <w:t>Our certificate of incorporation provides that all stockholder actions are required to be taken by a vote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139"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Meetings of Stockholders. </w:t>
      </w:r>
      <w:r>
        <w:rPr>
          <w:rFonts w:ascii="Arial" w:cs="Arial" w:eastAsia="Arial" w:hAnsi="Arial"/>
          <w:sz w:val="16"/>
          <w:szCs w:val="16"/>
          <w:color w:val="auto"/>
        </w:rPr>
        <w:t>Our bylaws provide that only a majority of the members of our Board then in office may call special meetings of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61" w:lineRule="exact"/>
        <w:rPr>
          <w:sz w:val="20"/>
          <w:szCs w:val="20"/>
          <w:color w:val="auto"/>
        </w:rPr>
      </w:pPr>
    </w:p>
    <w:p>
      <w:pPr>
        <w:ind w:right="20" w:firstLine="345"/>
        <w:spacing w:after="0" w:line="294" w:lineRule="auto"/>
        <w:rPr>
          <w:sz w:val="20"/>
          <w:szCs w:val="20"/>
          <w:color w:val="auto"/>
        </w:rPr>
      </w:pPr>
      <w:r>
        <w:rPr>
          <w:rFonts w:ascii="Arial" w:cs="Arial" w:eastAsia="Arial" w:hAnsi="Arial"/>
          <w:sz w:val="16"/>
          <w:szCs w:val="16"/>
          <w:b w:val="1"/>
          <w:bCs w:val="1"/>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 relating to the nomination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w:t>
      </w:r>
    </w:p>
    <w:p>
      <w:pPr>
        <w:spacing w:after="0" w:line="170" w:lineRule="exact"/>
        <w:rPr>
          <w:sz w:val="20"/>
          <w:szCs w:val="20"/>
          <w:color w:val="auto"/>
        </w:rPr>
      </w:pPr>
    </w:p>
    <w:p>
      <w:pPr>
        <w:ind w:firstLine="345"/>
        <w:spacing w:after="0" w:line="288" w:lineRule="auto"/>
        <w:rPr>
          <w:sz w:val="20"/>
          <w:szCs w:val="20"/>
          <w:color w:val="auto"/>
        </w:rPr>
      </w:pPr>
      <w:r>
        <w:rPr>
          <w:rFonts w:ascii="Arial" w:cs="Arial" w:eastAsia="Arial" w:hAnsi="Arial"/>
          <w:sz w:val="16"/>
          <w:szCs w:val="16"/>
          <w:b w:val="1"/>
          <w:bCs w:val="1"/>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 amendment of our certificate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incorporation must first be approved by a majority of our Board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25"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voting stock. Under Section 203, a business combination between a corporation and an interested stockholder is prohibited unless it satisfies one of the following conditions:</w:t>
      </w:r>
    </w:p>
    <w:p>
      <w:pPr>
        <w:spacing w:after="0" w:line="199" w:lineRule="exact"/>
        <w:rPr>
          <w:sz w:val="20"/>
          <w:szCs w:val="20"/>
          <w:color w:val="auto"/>
        </w:rPr>
      </w:pPr>
    </w:p>
    <w:p>
      <w:pPr>
        <w:ind w:left="1080" w:right="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4"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Exclusive Jurisdiction of Certain Actions. </w:t>
      </w:r>
      <w:r>
        <w:rPr>
          <w:rFonts w:ascii="Arial" w:cs="Arial" w:eastAsia="Arial" w:hAnsi="Arial"/>
          <w:sz w:val="16"/>
          <w:szCs w:val="16"/>
          <w:color w:val="auto"/>
        </w:rPr>
        <w:t>Our certificate of incorporation requires, to the fullest extent permitted by law, that derivative actions brought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our name, actions against our directors, officers and employees for breach of fiduciary duty and other similar actions may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We included copies of the forms of the indentures as exhibits to our registration statement and they are incorporated into this prospectus by reference.</w:t>
      </w:r>
    </w:p>
    <w:p>
      <w:pPr>
        <w:spacing w:after="0" w:line="172"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335" w:lineRule="auto"/>
        <w:rPr>
          <w:sz w:val="20"/>
          <w:szCs w:val="20"/>
          <w:color w:val="auto"/>
        </w:rPr>
      </w:pPr>
      <w:r>
        <w:rPr>
          <w:rFonts w:ascii="Arial" w:cs="Arial" w:eastAsia="Arial" w:hAnsi="Arial"/>
          <w:sz w:val="15"/>
          <w:szCs w:val="15"/>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"Description of Debt Securities—Subordination" and in the applicable prospectus supplement.</w:t>
      </w:r>
    </w:p>
    <w:p>
      <w:pPr>
        <w:spacing w:after="0" w:line="14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29"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238"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252"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07" w:lineRule="exact"/>
        <w:rPr>
          <w:rFonts w:ascii="Arial" w:cs="Arial" w:eastAsia="Arial" w:hAnsi="Arial"/>
          <w:sz w:val="18"/>
          <w:szCs w:val="18"/>
          <w:color w:val="auto"/>
        </w:rPr>
      </w:pPr>
    </w:p>
    <w:p>
      <w:pPr>
        <w:jc w:val="both"/>
        <w:ind w:left="1080" w:right="24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199" w:lineRule="exact"/>
        <w:rPr>
          <w:rFonts w:ascii="Arial" w:cs="Arial" w:eastAsia="Arial" w:hAnsi="Arial"/>
          <w:sz w:val="18"/>
          <w:szCs w:val="18"/>
          <w:color w:val="auto"/>
        </w:rPr>
      </w:pPr>
    </w:p>
    <w:p>
      <w:pPr>
        <w:ind w:left="1080" w:right="180" w:hanging="532"/>
        <w:spacing w:after="0" w:line="305"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w:t>
      </w:r>
    </w:p>
    <w:p>
      <w:pPr>
        <w:ind w:left="1080" w:right="20" w:firstLine="8"/>
        <w:spacing w:after="0" w:line="261" w:lineRule="auto"/>
        <w:tabs>
          <w:tab w:leader="none" w:pos="1338"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205"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66" w:lineRule="exact"/>
        <w:rPr>
          <w:rFonts w:ascii="Arial" w:cs="Arial" w:eastAsia="Arial" w:hAnsi="Arial"/>
          <w:sz w:val="16"/>
          <w:szCs w:val="16"/>
          <w:color w:val="auto"/>
        </w:rPr>
      </w:pPr>
    </w:p>
    <w:p>
      <w:pPr>
        <w:jc w:val="both"/>
        <w:ind w:left="1080" w:hanging="532"/>
        <w:spacing w:after="0" w:line="335"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92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66"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207"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6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governing instruments do not define the term "substantially all" as it relates to the sale of assets. Additionally, Delaware cases interpreting the term "substantially all" rely upon the facts and</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circumstances of each particular case. Consequently, to determine whether a sale of "substantially all" of our assets has occurred, a holder of debt securities must review the financial and other information that we have disclosed to the public.</w:t>
      </w:r>
    </w:p>
    <w:p>
      <w:pPr>
        <w:spacing w:after="0" w:line="186"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67" w:lineRule="exact"/>
        <w:rPr>
          <w:sz w:val="20"/>
          <w:szCs w:val="20"/>
          <w:color w:val="auto"/>
        </w:rPr>
      </w:pPr>
    </w:p>
    <w:p>
      <w:pPr>
        <w:ind w:right="200" w:firstLine="341"/>
        <w:spacing w:after="0" w:line="306"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Denomination, Interest, Registration and Transfer</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described in the applicable prospectus supplement, the debt securities of any series will be issuable in denominations of $1,000 and integral multiples of $1,000.</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99" w:lineRule="exact"/>
        <w:rPr>
          <w:sz w:val="20"/>
          <w:szCs w:val="20"/>
          <w:color w:val="auto"/>
        </w:rPr>
      </w:pPr>
    </w:p>
    <w:p>
      <w:pPr>
        <w:ind w:left="1080" w:right="4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21"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86"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1080" w:right="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securities selected for redemption is mailed and ending at the close of business on the day of such mailing;</w:t>
      </w:r>
    </w:p>
    <w:p>
      <w:pPr>
        <w:spacing w:after="0" w:line="239" w:lineRule="exact"/>
        <w:rPr>
          <w:sz w:val="20"/>
          <w:szCs w:val="20"/>
          <w:color w:val="auto"/>
        </w:rPr>
      </w:pPr>
    </w:p>
    <w:p>
      <w:pPr>
        <w:ind w:left="1080" w:right="2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ectPr>
          <w:pgSz w:w="11900" w:h="16838" w:orient="portrait"/>
          <w:cols w:equalWidth="0" w:num="1">
            <w:col w:w="11380"/>
          </w:cols>
          <w:pgMar w:left="240" w:top="131" w:right="27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Covenants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586" w:lineRule="exact"/>
        <w:rPr>
          <w:sz w:val="20"/>
          <w:szCs w:val="20"/>
          <w:color w:val="auto"/>
        </w:rPr>
      </w:pPr>
    </w:p>
    <w:p>
      <w:pPr>
        <w:sectPr>
          <w:pgSz w:w="11900" w:h="16838" w:orient="portrait"/>
          <w:cols w:equalWidth="0" w:num="2">
            <w:col w:w="760" w:space="320"/>
            <w:col w:w="10300"/>
          </w:cols>
          <w:pgMar w:left="240" w:top="131" w:right="279" w:bottom="1440" w:gutter="0" w:footer="0" w:header="0"/>
          <w:type w:val="continuous"/>
        </w:sectPr>
      </w:pPr>
    </w:p>
    <w:p>
      <w:pPr>
        <w:spacing w:after="0" w:line="7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Existence. </w:t>
      </w:r>
      <w:r>
        <w:rPr>
          <w:rFonts w:ascii="Arial" w:cs="Arial" w:eastAsia="Arial" w:hAnsi="Arial"/>
          <w:sz w:val="18"/>
          <w:szCs w:val="18"/>
          <w:color w:val="auto"/>
        </w:rPr>
        <w:t>Except as described under "—Merger, Consolidation or Sale of Assets," the indentures require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Payment of taxes and other claims. </w:t>
      </w:r>
      <w:r>
        <w:rPr>
          <w:rFonts w:ascii="Arial" w:cs="Arial" w:eastAsia="Arial" w:hAnsi="Arial"/>
          <w:sz w:val="16"/>
          <w:szCs w:val="16"/>
          <w:color w:val="auto"/>
        </w:rPr>
        <w:t>The indentures require us to pay, discharge or cause to be paid or discharged, before they become delinquent (i) all</w:t>
      </w:r>
      <w:r>
        <w:rPr>
          <w:rFonts w:ascii="Arial" w:cs="Arial" w:eastAsia="Arial" w:hAnsi="Arial"/>
          <w:sz w:val="16"/>
          <w:szCs w:val="16"/>
          <w:i w:val="1"/>
          <w:iCs w:val="1"/>
          <w:color w:val="auto"/>
        </w:rPr>
        <w:t xml:space="preserve"> </w:t>
      </w:r>
      <w:r>
        <w:rPr>
          <w:rFonts w:ascii="Arial" w:cs="Arial" w:eastAsia="Arial" w:hAnsi="Arial"/>
          <w:sz w:val="16"/>
          <w:szCs w:val="16"/>
          <w:color w:val="auto"/>
        </w:rPr>
        <w:t>taxes, assessments and governmental charges levied or imposed on us, and (ii) all lawful claims for labor, materials and supplies which, if unpaid, might by law become a lien upon our property. However, we will not be required to pay, discharge or cause to be paid or discharged any such tax, assessment, charge or claim whose amount, applicability or validity is being contested in good faith by appropriate proceedings.</w:t>
      </w:r>
    </w:p>
    <w:p>
      <w:pPr>
        <w:spacing w:after="0" w:line="16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Provision of financial information. </w:t>
      </w:r>
      <w:r>
        <w:rPr>
          <w:rFonts w:ascii="Arial" w:cs="Arial" w:eastAsia="Arial" w:hAnsi="Arial"/>
          <w:sz w:val="16"/>
          <w:szCs w:val="16"/>
          <w:color w:val="auto"/>
        </w:rPr>
        <w:t>The indentures require us to (i) within 15 days of each of the respective dates by which we are required to file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72"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Additional covenants.</w:t>
      </w:r>
      <w:r>
        <w:rPr>
          <w:sz w:val="20"/>
          <w:szCs w:val="20"/>
          <w:color w:val="auto"/>
        </w:rPr>
        <w:tab/>
      </w:r>
      <w:r>
        <w:rPr>
          <w:rFonts w:ascii="Arial" w:cs="Arial" w:eastAsia="Arial" w:hAnsi="Arial"/>
          <w:sz w:val="15"/>
          <w:szCs w:val="15"/>
          <w:color w:val="auto"/>
        </w:rPr>
        <w:t>The applicable prospectus supplement will set forth any our additional covenants relating to any series of debt securities.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 Notice and Waiver</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having an aggregate principal amount of at least $30,000,000; or</w:t>
      </w:r>
    </w:p>
    <w:p>
      <w:pPr>
        <w:spacing w:after="0" w:line="238"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under which there may be issued, secured or evidenced any existing or later created indebtedness for money borrowed by us, if we are directly responsible or liable as obligor or guarantor,</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97"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86" w:lineRule="exact"/>
        <w:rPr>
          <w:sz w:val="20"/>
          <w:szCs w:val="20"/>
          <w:color w:val="auto"/>
        </w:rPr>
      </w:pPr>
    </w:p>
    <w:p>
      <w:pPr>
        <w:ind w:left="1080" w:right="10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80" w:hanging="532"/>
        <w:spacing w:after="0" w:line="268"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2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7"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the Indentures</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08" w:lineRule="exact"/>
        <w:rPr>
          <w:sz w:val="20"/>
          <w:szCs w:val="20"/>
          <w:color w:val="auto"/>
        </w:rPr>
      </w:pPr>
    </w:p>
    <w:p>
      <w:pPr>
        <w:ind w:left="1080" w:right="3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99" w:lineRule="exact"/>
        <w:rPr>
          <w:rFonts w:ascii="Arial" w:cs="Arial" w:eastAsia="Arial" w:hAnsi="Arial"/>
          <w:sz w:val="18"/>
          <w:szCs w:val="18"/>
          <w:color w:val="auto"/>
        </w:rPr>
      </w:pPr>
    </w:p>
    <w:p>
      <w:pPr>
        <w:ind w:left="1080" w:right="620" w:hanging="532"/>
        <w:spacing w:after="0" w:line="370"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29"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1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252"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74"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99"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3" w:lineRule="exact"/>
        <w:rPr>
          <w:sz w:val="20"/>
          <w:szCs w:val="20"/>
          <w:color w:val="auto"/>
        </w:rPr>
      </w:pPr>
    </w:p>
    <w:p>
      <w:pPr>
        <w:ind w:left="1080" w:right="14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52" w:lineRule="exact"/>
        <w:rPr>
          <w:rFonts w:ascii="Arial" w:cs="Arial" w:eastAsia="Arial" w:hAnsi="Arial"/>
          <w:sz w:val="16"/>
          <w:szCs w:val="16"/>
          <w:color w:val="auto"/>
        </w:rPr>
      </w:pPr>
    </w:p>
    <w:p>
      <w:pPr>
        <w:jc w:val="both"/>
        <w:ind w:left="1080" w:right="300" w:hanging="532"/>
        <w:spacing w:after="0" w:line="335" w:lineRule="auto"/>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55"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8"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67"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56"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199" w:lineRule="exact"/>
        <w:rPr>
          <w:sz w:val="20"/>
          <w:szCs w:val="20"/>
          <w:color w:val="auto"/>
        </w:rPr>
      </w:pPr>
    </w:p>
    <w:p>
      <w:pPr>
        <w:ind w:left="1080" w:hanging="532"/>
        <w:spacing w:after="0" w:line="25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3"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1080" w:right="3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2"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1080" w:right="66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default. However, the issuing company would remain liable to make payments of any amounts due at the time of acceleration.</w:t>
      </w:r>
    </w:p>
    <w:p>
      <w:pPr>
        <w:spacing w:after="0" w:line="225"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225"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225"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98"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74"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74"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18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9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at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Recourse</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There is no recourse under any obligation, covenant or agreement in the applicable indenture or with respect to any security against any of our or our successor's past, present or future shareholders, employees, officers or directors.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periods during which, and places at which, the warrants are exercisable;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UNITS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72"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88" w:lineRule="exact"/>
        <w:rPr>
          <w:sz w:val="20"/>
          <w:szCs w:val="20"/>
          <w:color w:val="auto"/>
        </w:rPr>
      </w:pPr>
    </w:p>
    <w:p>
      <w:pPr>
        <w:ind w:left="1080" w:right="1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provisions for the issuance, payment, settlement, transfer or exchange of the units or of the securities comprising the units;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Most of the financial and other specific terms of your series will be described in the applicable prospectus supplement.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Agreements</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cure any ambiguity; any provisions of the governing unit agreement that differ from those described below;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86"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199" w:lineRule="exact"/>
        <w:rPr>
          <w:sz w:val="20"/>
          <w:szCs w:val="20"/>
          <w:color w:val="auto"/>
        </w:rPr>
      </w:pPr>
    </w:p>
    <w:p>
      <w:pPr>
        <w:ind w:left="1080" w:right="1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239" w:lineRule="exact"/>
        <w:rPr>
          <w:sz w:val="20"/>
          <w:szCs w:val="20"/>
          <w:color w:val="auto"/>
        </w:rPr>
      </w:pPr>
    </w:p>
    <w:p>
      <w:pPr>
        <w:ind w:left="1080" w:right="1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640" w:hanging="532"/>
        <w:spacing w:after="0" w:line="370"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1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225"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225" w:lineRule="exact"/>
        <w:rPr>
          <w:sz w:val="20"/>
          <w:szCs w:val="20"/>
          <w:color w:val="auto"/>
        </w:rPr>
      </w:pPr>
    </w:p>
    <w:p>
      <w:pPr>
        <w:ind w:right="100" w:firstLine="348"/>
        <w:spacing w:after="0" w:line="335" w:lineRule="auto"/>
        <w:rPr>
          <w:sz w:val="20"/>
          <w:szCs w:val="20"/>
          <w:color w:val="auto"/>
        </w:rPr>
      </w:pPr>
      <w:r>
        <w:rPr>
          <w:rFonts w:ascii="Arial" w:cs="Arial" w:eastAsia="Arial" w:hAnsi="Arial"/>
          <w:sz w:val="15"/>
          <w:szCs w:val="15"/>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42"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unit agreements and the units will be governed by Delaware law.</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213" w:lineRule="exact"/>
        <w:rPr>
          <w:sz w:val="20"/>
          <w:szCs w:val="20"/>
          <w:color w:val="auto"/>
        </w:rPr>
      </w:pPr>
    </w:p>
    <w:p>
      <w:pPr>
        <w:ind w:left="1080" w:right="1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99" w:lineRule="exact"/>
        <w:rPr>
          <w:rFonts w:ascii="Arial" w:cs="Arial" w:eastAsia="Arial" w:hAnsi="Arial"/>
          <w:sz w:val="18"/>
          <w:szCs w:val="18"/>
          <w:color w:val="auto"/>
        </w:rPr>
      </w:pPr>
    </w:p>
    <w:p>
      <w:pPr>
        <w:ind w:left="1080" w:right="200" w:hanging="532"/>
        <w:spacing w:after="0" w:line="370" w:lineRule="auto"/>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agent is satisfied with the holder's proof of legal ownership. The transfer agent may also require an indemnity before replacing any units.</w:t>
      </w:r>
    </w:p>
    <w:p>
      <w:pPr>
        <w:spacing w:after="0" w:line="262" w:lineRule="exact"/>
        <w:rPr>
          <w:sz w:val="20"/>
          <w:szCs w:val="20"/>
          <w:color w:val="auto"/>
        </w:rPr>
      </w:pPr>
    </w:p>
    <w:p>
      <w:pPr>
        <w:ind w:left="1080" w:hanging="532"/>
        <w:spacing w:after="0" w:line="254"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In making payments and giving notices with respect to our units, we will follow the procedures as described in the applicable prospectus supplement.</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law.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9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to with an additional underwriting commission, as may be set forth in the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accompanying prospectus supplement. If we grant any such option, the terms of such option will be set forth in the prospectus supplement for such securities.</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9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67"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8"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70"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of Esperion Therapeutics, Inc. incorporated by reference in Esperion Therapeutics, Inc.'s Annual Report (Form 10-K) for the year ended December 31, 2014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are subject to the information requirements of the Exchange Act and, in accordance therewith,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7" w:lineRule="exact"/>
        <w:rPr>
          <w:sz w:val="20"/>
          <w:szCs w:val="20"/>
          <w:color w:val="auto"/>
        </w:rPr>
      </w:pPr>
    </w:p>
    <w:p>
      <w:pPr>
        <w:ind w:right="100" w:firstLine="348"/>
        <w:spacing w:after="0" w:line="283" w:lineRule="auto"/>
        <w:rPr>
          <w:sz w:val="20"/>
          <w:szCs w:val="20"/>
          <w:color w:val="auto"/>
        </w:rPr>
      </w:pPr>
      <w:r>
        <w:rPr>
          <w:rFonts w:ascii="Arial" w:cs="Arial" w:eastAsia="Arial" w:hAnsi="Arial"/>
          <w:sz w:val="16"/>
          <w:szCs w:val="16"/>
          <w:color w:val="auto"/>
        </w:rPr>
        <w:t>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Esperion Therapeutics, Inc.,</w:t>
      </w:r>
    </w:p>
    <w:p>
      <w:pPr>
        <w:spacing w:after="0" w:line="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 xml:space="preserve">3891 Ranchero Drive, Suite 150, Ann Arbor, Michigan, Attention: Vice President, Finance, or by telephone request to (734) 887-3903. Our website is located at </w:t>
      </w:r>
      <w:r>
        <w:rPr>
          <w:rFonts w:ascii="Arial" w:cs="Arial" w:eastAsia="Arial" w:hAnsi="Arial"/>
          <w:sz w:val="18"/>
          <w:szCs w:val="18"/>
          <w:i w:val="1"/>
          <w:iCs w:val="1"/>
          <w:color w:val="auto"/>
        </w:rPr>
        <w:t>www.esperion.com</w:t>
      </w:r>
      <w:r>
        <w:rPr>
          <w:rFonts w:ascii="Arial" w:cs="Arial" w:eastAsia="Arial" w:hAnsi="Arial"/>
          <w:sz w:val="18"/>
          <w:szCs w:val="18"/>
          <w:color w:val="auto"/>
        </w:rPr>
        <w:t>. Information contained on our website is not incorporated by reference into this prospectus and, therefore, is not part of this prospectus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prospectus supplement.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188"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2014;</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2014 from our definitive proxy statement on Schedule 14A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(other than information furnished rather than filed), which was filed with the SEC on April 1, 2015;</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Quarterly Reports on Form 10-Q filed with the SEC for the quarters ended March 31, 2015, June 30, 2015 and September 30, 2015;</w:t>
      </w:r>
    </w:p>
    <w:p>
      <w:pPr>
        <w:spacing w:after="0" w:line="275" w:lineRule="exact"/>
        <w:rPr>
          <w:rFonts w:ascii="Arial" w:cs="Arial" w:eastAsia="Arial" w:hAnsi="Arial"/>
          <w:sz w:val="16"/>
          <w:szCs w:val="16"/>
          <w:color w:val="auto"/>
        </w:rPr>
      </w:pPr>
    </w:p>
    <w:p>
      <w:pPr>
        <w:jc w:val="both"/>
        <w:ind w:left="1080" w:right="26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Reports on Form 8-K filed with the SEC on February 2, 2015, March 17, 2015, March 19, 2015, May 20, 2015, June 15, 2015, July 7, 2015, July 28, 2015, August 17, 2015, September 28, 2015 and December 3, 2015 (except for information contained therein which is furnished rather than filed); and</w:t>
      </w:r>
    </w:p>
    <w:p>
      <w:pPr>
        <w:spacing w:after="0" w:line="207"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which was filed with the SEC on June 25, 2013, including any amendment or report filed for the purpose of updating such description.</w:t>
      </w:r>
    </w:p>
    <w:p>
      <w:pPr>
        <w:spacing w:after="0" w:line="18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w:t>
      </w:r>
    </w:p>
    <w:p>
      <w:pPr>
        <w:spacing w:after="0" w:line="161"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Esperion Therapeutics, Inc., 3891 Ranchero Drive, Suite 150, Ann Arbor, Michigan, Attention: Vice President, Finance, or by telephone request to (734) 887-3903.</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86" w:lineRule="exact"/>
        <w:rPr>
          <w:sz w:val="20"/>
          <w:szCs w:val="20"/>
          <w:color w:val="auto"/>
        </w:rPr>
      </w:pPr>
    </w:p>
    <w:p>
      <w:pPr>
        <w:jc w:val="both"/>
        <w:ind w:right="360" w:firstLine="345"/>
        <w:spacing w:after="0" w:line="256"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160020</wp:posOffset>
            </wp:positionV>
            <wp:extent cx="2221230" cy="805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2123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Units</w:t>
      </w:r>
    </w:p>
    <w:p>
      <w:pPr>
        <w:spacing w:after="0" w:line="197"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2015</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expenses payable by Esperion Therapeutics, Inc. (the "Registrant" or the "Company") in connection with the issuance and distribution of the securities being registered (other than underwriting discounts and commissions, if any) are set forth below. Each item listed is estimated, except for the Securities and Exchange Commission (the "SEC") registration fee.</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8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25,175</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Transfer agent and trustee fees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25,175</w:t>
            </w:r>
          </w:p>
        </w:tc>
        <w:tc>
          <w:tcPr>
            <w:tcW w:w="160" w:type="dxa"/>
            <w:vAlign w:val="bottom"/>
          </w:tcPr>
          <w:p>
            <w:pPr>
              <w:spacing w:after="0"/>
              <w:rPr>
                <w:sz w:val="18"/>
                <w:szCs w:val="18"/>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437"/>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2"/>
          </w:tcPr>
          <w:p>
            <w:pPr>
              <w:ind w:left="80"/>
              <w:spacing w:after="0"/>
              <w:rPr>
                <w:sz w:val="20"/>
                <w:szCs w:val="20"/>
                <w:color w:val="auto"/>
              </w:rPr>
            </w:pPr>
            <w:r>
              <w:rPr>
                <w:rFonts w:ascii="Arial" w:cs="Arial" w:eastAsia="Arial" w:hAnsi="Arial"/>
                <w:sz w:val="18"/>
                <w:szCs w:val="18"/>
                <w:color w:val="auto"/>
              </w:rPr>
              <w:t>Estimated expenses not presently known</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amended and restated certificate of incorporation provides for the indemnification of directors to the fullest extent permissible under Delaware law.</w:t>
      </w:r>
    </w:p>
    <w:p>
      <w:pPr>
        <w:spacing w:after="0" w:line="24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amended and restated by-laws provide for the indemnification of officers, directors and third parties acting on our behalf if such persons act in good faith and in a manner reasonably believed to be in and not opposed to our best interest, and, with respect to any criminal action or proceeding, such indemnified party had no reason to believe his or her conduct was unlawful.</w:t>
      </w:r>
    </w:p>
    <w:p>
      <w:pPr>
        <w:spacing w:after="0" w:line="194"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certain of our executive officers. These agreements provide that we will indemnify each of our directors and certain of our executive officers to the fullest extent permitted by law. We intend to enter into indemnification agreements with any new directors and executive officers in the future.</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firstLine="403"/>
        <w:spacing w:after="0" w:line="290" w:lineRule="auto"/>
        <w:tabs>
          <w:tab w:leader="none" w:pos="1774"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2" w:lineRule="exact"/>
        <w:rPr>
          <w:rFonts w:ascii="Arial" w:cs="Arial" w:eastAsia="Arial" w:hAnsi="Arial"/>
          <w:sz w:val="16"/>
          <w:szCs w:val="16"/>
          <w:color w:val="auto"/>
        </w:rPr>
      </w:pPr>
    </w:p>
    <w:p>
      <w:pPr>
        <w:ind w:left="1080" w:right="140" w:firstLine="360"/>
        <w:spacing w:after="0" w:line="268" w:lineRule="auto"/>
        <w:tabs>
          <w:tab w:leader="none" w:pos="17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(a)(l)(i), (a)(l)(ii) and (a)(l)(iii) of this section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67" w:lineRule="exact"/>
        <w:rPr>
          <w:sz w:val="20"/>
          <w:szCs w:val="20"/>
          <w:color w:val="auto"/>
        </w:rPr>
      </w:pPr>
    </w:p>
    <w:p>
      <w:pPr>
        <w:ind w:left="540" w:right="100" w:firstLine="359"/>
        <w:spacing w:after="0" w:line="259" w:lineRule="auto"/>
        <w:tabs>
          <w:tab w:leader="none" w:pos="12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94" w:lineRule="exact"/>
        <w:rPr>
          <w:rFonts w:ascii="Arial" w:cs="Arial" w:eastAsia="Arial" w:hAnsi="Arial"/>
          <w:sz w:val="18"/>
          <w:szCs w:val="18"/>
          <w:color w:val="auto"/>
        </w:rPr>
      </w:pPr>
    </w:p>
    <w:p>
      <w:pPr>
        <w:ind w:left="540" w:right="740" w:firstLine="359"/>
        <w:spacing w:after="0" w:line="268" w:lineRule="auto"/>
        <w:tabs>
          <w:tab w:leader="none" w:pos="12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080" w:right="160" w:firstLine="447"/>
        <w:spacing w:after="0" w:line="268" w:lineRule="auto"/>
        <w:tabs>
          <w:tab w:leader="none" w:pos="1772"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Rule 430B relating to an offering made pursuant to Rule 415(a)(l)(i), (vii), or (x) for the purpose of providing the information required by</w:t>
      </w:r>
    </w:p>
    <w:p>
      <w:pPr>
        <w:spacing w:after="0" w:line="32" w:lineRule="exact"/>
        <w:rPr>
          <w:sz w:val="20"/>
          <w:szCs w:val="20"/>
          <w:color w:val="auto"/>
        </w:rPr>
      </w:pPr>
    </w:p>
    <w:p>
      <w:pPr>
        <w:ind w:left="1080" w:right="20"/>
        <w:spacing w:after="0" w:line="287" w:lineRule="auto"/>
        <w:rPr>
          <w:sz w:val="20"/>
          <w:szCs w:val="20"/>
          <w:color w:val="auto"/>
        </w:rPr>
      </w:pPr>
      <w:r>
        <w:rPr>
          <w:rFonts w:ascii="Arial" w:cs="Arial" w:eastAsia="Arial" w:hAnsi="Arial"/>
          <w:sz w:val="16"/>
          <w:szCs w:val="16"/>
          <w:color w:val="auto"/>
        </w:rPr>
        <w:t xml:space="preserve">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40" w:firstLine="359"/>
        <w:spacing w:after="0" w:line="255" w:lineRule="auto"/>
        <w:tabs>
          <w:tab w:leader="none" w:pos="12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6" w:lineRule="exact"/>
        <w:rPr>
          <w:rFonts w:ascii="Arial" w:cs="Arial" w:eastAsia="Arial" w:hAnsi="Arial"/>
          <w:sz w:val="18"/>
          <w:szCs w:val="18"/>
          <w:color w:val="auto"/>
        </w:rPr>
      </w:pPr>
    </w:p>
    <w:p>
      <w:pPr>
        <w:ind w:left="1780" w:hanging="253"/>
        <w:spacing w:after="0"/>
        <w:tabs>
          <w:tab w:leader="none" w:pos="17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080" w:right="200" w:firstLine="403"/>
        <w:spacing w:after="0" w:line="268" w:lineRule="auto"/>
        <w:tabs>
          <w:tab w:leader="none" w:pos="17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1080" w:right="20" w:firstLine="360"/>
        <w:spacing w:after="0" w:line="268" w:lineRule="auto"/>
        <w:tabs>
          <w:tab w:leader="none" w:pos="1779"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w:t>
      </w:r>
    </w:p>
    <w:p>
      <w:pPr>
        <w:spacing w:after="0" w:line="38" w:lineRule="exact"/>
        <w:rPr>
          <w:sz w:val="20"/>
          <w:szCs w:val="20"/>
          <w:color w:val="auto"/>
        </w:rPr>
      </w:pPr>
    </w:p>
    <w:p>
      <w:pPr>
        <w:ind w:left="540" w:right="220"/>
        <w:spacing w:after="0" w:line="254" w:lineRule="auto"/>
        <w:rPr>
          <w:sz w:val="20"/>
          <w:szCs w:val="20"/>
          <w:color w:val="auto"/>
        </w:rPr>
      </w:pPr>
      <w:r>
        <w:rPr>
          <w:rFonts w:ascii="Arial" w:cs="Arial" w:eastAsia="Arial" w:hAnsi="Arial"/>
          <w:sz w:val="18"/>
          <w:szCs w:val="18"/>
          <w:color w:val="auto"/>
        </w:rPr>
        <w:t xml:space="preserve">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98" w:lineRule="exact"/>
        <w:rPr>
          <w:sz w:val="20"/>
          <w:szCs w:val="20"/>
          <w:color w:val="auto"/>
        </w:rPr>
      </w:pPr>
    </w:p>
    <w:p>
      <w:pPr>
        <w:ind w:left="540" w:right="20" w:firstLine="359"/>
        <w:spacing w:after="0" w:line="289" w:lineRule="auto"/>
        <w:tabs>
          <w:tab w:leader="none" w:pos="1228" w:val="left"/>
        </w:tabs>
        <w:numPr>
          <w:ilvl w:val="1"/>
          <w:numId w:val="4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2" w:lineRule="exact"/>
        <w:rPr>
          <w:rFonts w:ascii="Arial" w:cs="Arial" w:eastAsia="Arial" w:hAnsi="Arial"/>
          <w:sz w:val="16"/>
          <w:szCs w:val="16"/>
          <w:color w:val="auto"/>
        </w:rPr>
      </w:pPr>
    </w:p>
    <w:p>
      <w:pPr>
        <w:ind w:left="540" w:right="180" w:firstLine="359"/>
        <w:spacing w:after="0" w:line="286" w:lineRule="auto"/>
        <w:tabs>
          <w:tab w:leader="none" w:pos="1224"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800" w:hanging="252"/>
        <w:spacing w:after="0"/>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or 497(h) under the Securities Act of 1933 shall be deemed to be part of this registration statement as of the time it was declared effective;</w:t>
      </w:r>
    </w:p>
    <w:p>
      <w:pPr>
        <w:spacing w:after="0" w:line="241" w:lineRule="exact"/>
        <w:rPr>
          <w:rFonts w:ascii="Arial" w:cs="Arial" w:eastAsia="Arial" w:hAnsi="Arial"/>
          <w:sz w:val="16"/>
          <w:szCs w:val="16"/>
          <w:color w:val="auto"/>
        </w:rPr>
      </w:pPr>
    </w:p>
    <w:p>
      <w:pPr>
        <w:ind w:left="540" w:right="40" w:firstLine="359"/>
        <w:spacing w:after="0" w:line="259" w:lineRule="auto"/>
        <w:tabs>
          <w:tab w:leader="none" w:pos="1224"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and</w:t>
      </w:r>
    </w:p>
    <w:p>
      <w:pPr>
        <w:spacing w:after="0" w:line="194" w:lineRule="exact"/>
        <w:rPr>
          <w:rFonts w:ascii="Arial" w:cs="Arial" w:eastAsia="Arial" w:hAnsi="Arial"/>
          <w:sz w:val="18"/>
          <w:szCs w:val="18"/>
          <w:color w:val="auto"/>
        </w:rPr>
      </w:pPr>
    </w:p>
    <w:p>
      <w:pPr>
        <w:ind w:left="540" w:firstLine="359"/>
        <w:spacing w:after="0" w:line="259" w:lineRule="auto"/>
        <w:tabs>
          <w:tab w:leader="none" w:pos="1224" w:val="left"/>
        </w:tabs>
        <w:numPr>
          <w:ilvl w:val="1"/>
          <w:numId w:val="50"/>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80" w:firstLine="351"/>
        <w:spacing w:after="0" w:line="270"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Ann Arbor, Michigan, on this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December, 2015.</w:t>
      </w:r>
    </w:p>
    <w:p>
      <w:pPr>
        <w:spacing w:after="0" w:line="58"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ESPERION THERAPETICS, INC.</w:t>
      </w:r>
    </w:p>
    <w:p>
      <w:pPr>
        <w:spacing w:after="0" w:line="258" w:lineRule="exact"/>
        <w:rPr>
          <w:sz w:val="20"/>
          <w:szCs w:val="20"/>
          <w:color w:val="auto"/>
        </w:rPr>
      </w:pPr>
    </w:p>
    <w:p>
      <w:pPr>
        <w:ind w:left="570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 M. MAYLEBEN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Tim M. Mayleben</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KNOW ALL BE THESE PRESENTS, that each person whose signature appears below hereby severally constitutes and appoints Tim M. Mayleben and Richard B. Bartram, and each of them singly, as such person's true and lawful attorneys-in-fact and agents,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p>
      <w:pPr>
        <w:ind w:left="2540"/>
        <w:spacing w:after="0"/>
        <w:tabs>
          <w:tab w:leader="none" w:pos="6500" w:val="left"/>
          <w:tab w:leader="none" w:pos="94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7"/>
              </w:rPr>
              <w:t>/s/ TIM M. MAYLEBEN</w:t>
            </w:r>
          </w:p>
        </w:tc>
        <w:tc>
          <w:tcPr>
            <w:tcW w:w="4160" w:type="dxa"/>
            <w:vAlign w:val="bottom"/>
          </w:tcPr>
          <w:p>
            <w:pPr>
              <w:ind w:left="120"/>
              <w:spacing w:after="0"/>
              <w:rPr>
                <w:sz w:val="20"/>
                <w:szCs w:val="20"/>
                <w:color w:val="auto"/>
              </w:rPr>
            </w:pPr>
            <w:r>
              <w:rPr>
                <w:rFonts w:ascii="Arial" w:cs="Arial" w:eastAsia="Arial" w:hAnsi="Arial"/>
                <w:sz w:val="18"/>
                <w:szCs w:val="18"/>
                <w:color w:val="auto"/>
                <w:w w:val="99"/>
              </w:rPr>
              <w:t>President and Chief Executive Officer and Director</w:t>
            </w:r>
          </w:p>
        </w:tc>
        <w:tc>
          <w:tcPr>
            <w:tcW w:w="2720" w:type="dxa"/>
            <w:vAlign w:val="bottom"/>
          </w:tcPr>
          <w:p>
            <w:pPr>
              <w:ind w:left="180"/>
              <w:spacing w:after="0"/>
              <w:rPr>
                <w:sz w:val="20"/>
                <w:szCs w:val="20"/>
                <w:color w:val="auto"/>
              </w:rPr>
            </w:pPr>
            <w:r>
              <w:rPr>
                <w:rFonts w:ascii="Arial" w:cs="Arial" w:eastAsia="Arial" w:hAnsi="Arial"/>
                <w:sz w:val="18"/>
                <w:szCs w:val="18"/>
                <w:color w:val="auto"/>
              </w:rPr>
              <w:t>December 22,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4160" w:type="dxa"/>
            <w:vAlign w:val="bottom"/>
            <w:vMerge w:val="restart"/>
          </w:tcPr>
          <w:p>
            <w:pPr>
              <w:ind w:left="120"/>
              <w:spacing w:after="0"/>
              <w:rPr>
                <w:sz w:val="20"/>
                <w:szCs w:val="20"/>
                <w:color w:val="auto"/>
              </w:rPr>
            </w:pPr>
            <w:r>
              <w:rPr>
                <w:rFonts w:ascii="Arial" w:cs="Arial" w:eastAsia="Arial" w:hAnsi="Arial"/>
                <w:sz w:val="18"/>
                <w:szCs w:val="18"/>
                <w:color w:val="auto"/>
                <w:w w:val="99"/>
              </w:rPr>
              <w:t>(Principal Executive Officer and Principal Financial</w:t>
            </w: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3380" w:type="dxa"/>
            <w:vAlign w:val="bottom"/>
            <w:vMerge w:val="restart"/>
          </w:tcPr>
          <w:p>
            <w:pPr>
              <w:jc w:val="center"/>
              <w:spacing w:after="0"/>
              <w:rPr>
                <w:sz w:val="20"/>
                <w:szCs w:val="20"/>
                <w:color w:val="auto"/>
              </w:rPr>
            </w:pPr>
            <w:r>
              <w:rPr>
                <w:rFonts w:ascii="Arial" w:cs="Arial" w:eastAsia="Arial" w:hAnsi="Arial"/>
                <w:sz w:val="18"/>
                <w:szCs w:val="18"/>
                <w:color w:val="auto"/>
                <w:w w:val="92"/>
              </w:rPr>
              <w:t>Tim M. Mayleben</w:t>
            </w:r>
          </w:p>
        </w:tc>
        <w:tc>
          <w:tcPr>
            <w:tcW w:w="4160" w:type="dxa"/>
            <w:vAlign w:val="bottom"/>
            <w:vMerge w:val="continue"/>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80" w:type="dxa"/>
            <w:vAlign w:val="bottom"/>
            <w:vMerge w:val="continue"/>
          </w:tcPr>
          <w:p>
            <w:pPr>
              <w:spacing w:after="0"/>
              <w:rPr>
                <w:sz w:val="19"/>
                <w:szCs w:val="19"/>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Officer)</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/s/ RICHARD B. BARTRAM</w:t>
            </w:r>
          </w:p>
        </w:tc>
        <w:tc>
          <w:tcPr>
            <w:tcW w:w="4160" w:type="dxa"/>
            <w:vAlign w:val="bottom"/>
          </w:tcPr>
          <w:p>
            <w:pPr>
              <w:ind w:left="120"/>
              <w:spacing w:after="0"/>
              <w:rPr>
                <w:sz w:val="20"/>
                <w:szCs w:val="20"/>
                <w:color w:val="auto"/>
              </w:rPr>
            </w:pPr>
            <w:r>
              <w:rPr>
                <w:rFonts w:ascii="Arial" w:cs="Arial" w:eastAsia="Arial" w:hAnsi="Arial"/>
                <w:sz w:val="18"/>
                <w:szCs w:val="18"/>
                <w:color w:val="auto"/>
                <w:w w:val="93"/>
              </w:rPr>
              <w:t>Vice President, Finance (Principal Accounting Officer)</w:t>
            </w:r>
          </w:p>
        </w:tc>
        <w:tc>
          <w:tcPr>
            <w:tcW w:w="2720" w:type="dxa"/>
            <w:vAlign w:val="bottom"/>
          </w:tcPr>
          <w:p>
            <w:pPr>
              <w:ind w:left="180"/>
              <w:spacing w:after="0"/>
              <w:rPr>
                <w:sz w:val="20"/>
                <w:szCs w:val="20"/>
                <w:color w:val="auto"/>
              </w:rPr>
            </w:pPr>
            <w:r>
              <w:rPr>
                <w:rFonts w:ascii="Arial" w:cs="Arial" w:eastAsia="Arial" w:hAnsi="Arial"/>
                <w:sz w:val="18"/>
                <w:szCs w:val="18"/>
                <w:color w:val="auto"/>
              </w:rPr>
              <w:t>December 22,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Richard B. Bartram</w:t>
            </w:r>
          </w:p>
        </w:tc>
        <w:tc>
          <w:tcPr>
            <w:tcW w:w="4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1"/>
              </w:rPr>
              <w:t>/s/ ROGER S. NEWTON, PH.D., FAHA</w:t>
            </w:r>
          </w:p>
        </w:tc>
        <w:tc>
          <w:tcPr>
            <w:tcW w:w="4160" w:type="dxa"/>
            <w:vAlign w:val="bottom"/>
          </w:tcPr>
          <w:p>
            <w:pPr>
              <w:ind w:left="120"/>
              <w:spacing w:after="0"/>
              <w:rPr>
                <w:sz w:val="20"/>
                <w:szCs w:val="20"/>
                <w:color w:val="auto"/>
              </w:rPr>
            </w:pPr>
            <w:r>
              <w:rPr>
                <w:rFonts w:ascii="Arial" w:cs="Arial" w:eastAsia="Arial" w:hAnsi="Arial"/>
                <w:sz w:val="18"/>
                <w:szCs w:val="18"/>
                <w:color w:val="auto"/>
              </w:rPr>
              <w:t>Executive Chairman, Chief Scientific Officer and</w:t>
            </w:r>
          </w:p>
        </w:tc>
        <w:tc>
          <w:tcPr>
            <w:tcW w:w="2720" w:type="dxa"/>
            <w:vAlign w:val="bottom"/>
          </w:tcPr>
          <w:p>
            <w:pPr>
              <w:ind w:left="180"/>
              <w:spacing w:after="0"/>
              <w:rPr>
                <w:sz w:val="20"/>
                <w:szCs w:val="20"/>
                <w:color w:val="auto"/>
              </w:rPr>
            </w:pPr>
            <w:r>
              <w:rPr>
                <w:rFonts w:ascii="Arial" w:cs="Arial" w:eastAsia="Arial" w:hAnsi="Arial"/>
                <w:sz w:val="18"/>
                <w:szCs w:val="18"/>
                <w:color w:val="auto"/>
              </w:rPr>
              <w:t>December 22,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416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380" w:type="dxa"/>
            <w:vAlign w:val="bottom"/>
            <w:vMerge w:val="restart"/>
          </w:tcPr>
          <w:p>
            <w:pPr>
              <w:jc w:val="center"/>
              <w:spacing w:after="0"/>
              <w:rPr>
                <w:sz w:val="20"/>
                <w:szCs w:val="20"/>
                <w:color w:val="auto"/>
              </w:rPr>
            </w:pPr>
            <w:r>
              <w:rPr>
                <w:rFonts w:ascii="Arial" w:cs="Arial" w:eastAsia="Arial" w:hAnsi="Arial"/>
                <w:sz w:val="18"/>
                <w:szCs w:val="18"/>
                <w:color w:val="auto"/>
                <w:w w:val="90"/>
              </w:rPr>
              <w:t>Roger S. Newton, Ph.D., FAHA</w:t>
            </w:r>
          </w:p>
        </w:tc>
        <w:tc>
          <w:tcPr>
            <w:tcW w:w="4160" w:type="dxa"/>
            <w:vAlign w:val="bottom"/>
            <w:vMerge w:val="continue"/>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41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3"/>
              </w:rPr>
              <w:t>/s/ SCOTT BRAUNSTEIN, M.D.</w:t>
            </w:r>
          </w:p>
        </w:tc>
        <w:tc>
          <w:tcPr>
            <w:tcW w:w="41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720" w:type="dxa"/>
            <w:vAlign w:val="bottom"/>
          </w:tcPr>
          <w:p>
            <w:pPr>
              <w:ind w:left="180"/>
              <w:spacing w:after="0"/>
              <w:rPr>
                <w:sz w:val="20"/>
                <w:szCs w:val="20"/>
                <w:color w:val="auto"/>
              </w:rPr>
            </w:pPr>
            <w:r>
              <w:rPr>
                <w:rFonts w:ascii="Arial" w:cs="Arial" w:eastAsia="Arial" w:hAnsi="Arial"/>
                <w:sz w:val="18"/>
                <w:szCs w:val="18"/>
                <w:color w:val="auto"/>
              </w:rPr>
              <w:t>December 22,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Scott Braunstein, M.D.</w:t>
            </w:r>
          </w:p>
        </w:tc>
        <w:tc>
          <w:tcPr>
            <w:tcW w:w="4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160" w:type="dxa"/>
            <w:vAlign w:val="bottom"/>
          </w:tcPr>
          <w:p>
            <w:pPr>
              <w:ind w:left="1040"/>
              <w:spacing w:after="0"/>
              <w:rPr>
                <w:sz w:val="20"/>
                <w:szCs w:val="20"/>
                <w:color w:val="auto"/>
              </w:rPr>
            </w:pPr>
            <w:r>
              <w:rPr>
                <w:rFonts w:ascii="Arial" w:cs="Arial" w:eastAsia="Arial" w:hAnsi="Arial"/>
                <w:sz w:val="18"/>
                <w:szCs w:val="18"/>
                <w:color w:val="auto"/>
              </w:rPr>
              <w:t>II-4</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40"/>
        <w:spacing w:after="0"/>
        <w:tabs>
          <w:tab w:leader="none" w:pos="6500" w:val="left"/>
          <w:tab w:leader="none" w:pos="94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2"/>
              </w:rPr>
              <w:t>/s/ PATRICK ENRIGHT</w:t>
            </w:r>
          </w:p>
        </w:tc>
        <w:tc>
          <w:tcPr>
            <w:tcW w:w="880" w:type="dxa"/>
            <w:vAlign w:val="bottom"/>
          </w:tcPr>
          <w:p>
            <w:pPr>
              <w:spacing w:after="0"/>
              <w:rPr>
                <w:sz w:val="19"/>
                <w:szCs w:val="19"/>
                <w:color w:val="auto"/>
              </w:rPr>
            </w:pPr>
          </w:p>
        </w:tc>
        <w:tc>
          <w:tcPr>
            <w:tcW w:w="6000" w:type="dxa"/>
            <w:vAlign w:val="bottom"/>
          </w:tcPr>
          <w:p>
            <w:pPr>
              <w:spacing w:after="0"/>
              <w:rPr>
                <w:sz w:val="19"/>
                <w:szCs w:val="19"/>
                <w:color w:val="auto"/>
              </w:rPr>
            </w:pPr>
          </w:p>
        </w:tc>
      </w:tr>
      <w:tr>
        <w:trPr>
          <w:trHeight w:val="97"/>
        </w:trPr>
        <w:tc>
          <w:tcPr>
            <w:tcW w:w="116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600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Patrick Enright</w:t>
            </w:r>
          </w:p>
        </w:tc>
        <w:tc>
          <w:tcPr>
            <w:tcW w:w="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00" w:type="dxa"/>
            <w:vAlign w:val="bottom"/>
          </w:tcPr>
          <w:p>
            <w:pPr>
              <w:ind w:left="3460"/>
              <w:spacing w:after="0"/>
              <w:rPr>
                <w:sz w:val="20"/>
                <w:szCs w:val="20"/>
                <w:color w:val="auto"/>
              </w:rPr>
            </w:pPr>
            <w:r>
              <w:rPr>
                <w:rFonts w:ascii="Arial" w:cs="Arial" w:eastAsia="Arial" w:hAnsi="Arial"/>
                <w:sz w:val="18"/>
                <w:szCs w:val="18"/>
                <w:color w:val="auto"/>
              </w:rPr>
              <w:t>December 22, 2015</w:t>
            </w:r>
          </w:p>
        </w:tc>
      </w:tr>
      <w:tr>
        <w:trPr>
          <w:trHeight w:val="45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/s/ DOV A. GOLDSTEIN, M.D.</w:t>
            </w:r>
          </w:p>
        </w:tc>
        <w:tc>
          <w:tcPr>
            <w:tcW w:w="88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600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2"/>
              </w:rPr>
              <w:t>Dov A. Goldstein, M.D.</w:t>
            </w:r>
          </w:p>
        </w:tc>
        <w:tc>
          <w:tcPr>
            <w:tcW w:w="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00" w:type="dxa"/>
            <w:vAlign w:val="bottom"/>
          </w:tcPr>
          <w:p>
            <w:pPr>
              <w:ind w:left="3460"/>
              <w:spacing w:after="0"/>
              <w:rPr>
                <w:sz w:val="20"/>
                <w:szCs w:val="20"/>
                <w:color w:val="auto"/>
              </w:rPr>
            </w:pPr>
            <w:r>
              <w:rPr>
                <w:rFonts w:ascii="Arial" w:cs="Arial" w:eastAsia="Arial" w:hAnsi="Arial"/>
                <w:sz w:val="18"/>
                <w:szCs w:val="18"/>
                <w:color w:val="auto"/>
              </w:rPr>
              <w:t>December 22, 2015</w:t>
            </w:r>
          </w:p>
        </w:tc>
      </w:tr>
      <w:tr>
        <w:trPr>
          <w:trHeight w:val="45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/s/ ANTONIO M. GOTTO, M.D., D.PHIL</w:t>
            </w:r>
          </w:p>
        </w:tc>
        <w:tc>
          <w:tcPr>
            <w:tcW w:w="88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600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3"/>
              </w:rPr>
              <w:t>Antonio M. Gotto, M.D., D.Phil</w:t>
            </w:r>
          </w:p>
        </w:tc>
        <w:tc>
          <w:tcPr>
            <w:tcW w:w="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00" w:type="dxa"/>
            <w:vAlign w:val="bottom"/>
          </w:tcPr>
          <w:p>
            <w:pPr>
              <w:ind w:left="3460"/>
              <w:spacing w:after="0"/>
              <w:rPr>
                <w:sz w:val="20"/>
                <w:szCs w:val="20"/>
                <w:color w:val="auto"/>
              </w:rPr>
            </w:pPr>
            <w:r>
              <w:rPr>
                <w:rFonts w:ascii="Arial" w:cs="Arial" w:eastAsia="Arial" w:hAnsi="Arial"/>
                <w:sz w:val="18"/>
                <w:szCs w:val="18"/>
                <w:color w:val="auto"/>
              </w:rPr>
              <w:t>December 22, 2015</w:t>
            </w:r>
          </w:p>
        </w:tc>
      </w:tr>
      <w:tr>
        <w:trPr>
          <w:trHeight w:val="45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6"/>
              </w:rPr>
              <w:t>/s/ DANIEL JANNEY</w:t>
            </w:r>
          </w:p>
        </w:tc>
        <w:tc>
          <w:tcPr>
            <w:tcW w:w="88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600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87"/>
              </w:rPr>
              <w:t>Daniel Janney</w:t>
            </w:r>
          </w:p>
        </w:tc>
        <w:tc>
          <w:tcPr>
            <w:tcW w:w="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00" w:type="dxa"/>
            <w:vAlign w:val="bottom"/>
          </w:tcPr>
          <w:p>
            <w:pPr>
              <w:ind w:left="3460"/>
              <w:spacing w:after="0"/>
              <w:rPr>
                <w:sz w:val="20"/>
                <w:szCs w:val="20"/>
                <w:color w:val="auto"/>
              </w:rPr>
            </w:pPr>
            <w:r>
              <w:rPr>
                <w:rFonts w:ascii="Arial" w:cs="Arial" w:eastAsia="Arial" w:hAnsi="Arial"/>
                <w:sz w:val="18"/>
                <w:szCs w:val="18"/>
                <w:color w:val="auto"/>
              </w:rPr>
              <w:t>December 22, 2015</w:t>
            </w:r>
          </w:p>
        </w:tc>
      </w:tr>
      <w:tr>
        <w:trPr>
          <w:trHeight w:val="45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/s/ MARK E. MCGOVERN, M.D.</w:t>
            </w:r>
          </w:p>
        </w:tc>
        <w:tc>
          <w:tcPr>
            <w:tcW w:w="88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600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2"/>
              </w:rPr>
              <w:t>Mark E. McGovern, M.D.</w:t>
            </w:r>
          </w:p>
        </w:tc>
        <w:tc>
          <w:tcPr>
            <w:tcW w:w="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00" w:type="dxa"/>
            <w:vAlign w:val="bottom"/>
          </w:tcPr>
          <w:p>
            <w:pPr>
              <w:ind w:left="3460"/>
              <w:spacing w:after="0"/>
              <w:rPr>
                <w:sz w:val="20"/>
                <w:szCs w:val="20"/>
                <w:color w:val="auto"/>
              </w:rPr>
            </w:pPr>
            <w:r>
              <w:rPr>
                <w:rFonts w:ascii="Arial" w:cs="Arial" w:eastAsia="Arial" w:hAnsi="Arial"/>
                <w:sz w:val="18"/>
                <w:szCs w:val="18"/>
                <w:color w:val="auto"/>
              </w:rPr>
              <w:t>December 22, 2015</w:t>
            </w:r>
          </w:p>
        </w:tc>
      </w:tr>
      <w:tr>
        <w:trPr>
          <w:trHeight w:val="45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2"/>
              </w:rPr>
              <w:t>/s/ GILBERT S. OMENN, M.D., PH.D.</w:t>
            </w:r>
          </w:p>
        </w:tc>
        <w:tc>
          <w:tcPr>
            <w:tcW w:w="88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600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Gilbert S. Omenn, M.D., Ph.D.</w:t>
            </w:r>
          </w:p>
        </w:tc>
        <w:tc>
          <w:tcPr>
            <w:tcW w:w="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00" w:type="dxa"/>
            <w:vAlign w:val="bottom"/>
          </w:tcPr>
          <w:p>
            <w:pPr>
              <w:ind w:left="3460"/>
              <w:spacing w:after="0"/>
              <w:rPr>
                <w:sz w:val="20"/>
                <w:szCs w:val="20"/>
                <w:color w:val="auto"/>
              </w:rPr>
            </w:pPr>
            <w:r>
              <w:rPr>
                <w:rFonts w:ascii="Arial" w:cs="Arial" w:eastAsia="Arial" w:hAnsi="Arial"/>
                <w:sz w:val="18"/>
                <w:szCs w:val="18"/>
                <w:color w:val="auto"/>
              </w:rPr>
              <w:t>December 22, 2015</w:t>
            </w:r>
          </w:p>
        </w:tc>
      </w:tr>
      <w:tr>
        <w:trPr>
          <w:trHeight w:val="45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7"/>
              </w:rPr>
              <w:t>/s/ NICOLE VITULLO</w:t>
            </w:r>
          </w:p>
        </w:tc>
        <w:tc>
          <w:tcPr>
            <w:tcW w:w="88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600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6"/>
              </w:rPr>
              <w:t>Nicole Vitullo</w:t>
            </w:r>
          </w:p>
        </w:tc>
        <w:tc>
          <w:tcPr>
            <w:tcW w:w="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00" w:type="dxa"/>
            <w:vAlign w:val="bottom"/>
          </w:tcPr>
          <w:p>
            <w:pPr>
              <w:ind w:left="3460"/>
              <w:spacing w:after="0"/>
              <w:rPr>
                <w:sz w:val="20"/>
                <w:szCs w:val="20"/>
                <w:color w:val="auto"/>
              </w:rPr>
            </w:pPr>
            <w:r>
              <w:rPr>
                <w:rFonts w:ascii="Arial" w:cs="Arial" w:eastAsia="Arial" w:hAnsi="Arial"/>
                <w:sz w:val="18"/>
                <w:szCs w:val="18"/>
                <w:color w:val="auto"/>
              </w:rPr>
              <w:t>December 22, 2015</w:t>
            </w:r>
          </w:p>
        </w:tc>
      </w:tr>
      <w:tr>
        <w:trPr>
          <w:trHeight w:val="432"/>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II-5</w:t>
            </w: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60"/>
          </w:cols>
          <w:pgMar w:left="240" w:top="131" w:right="299" w:bottom="1440" w:gutter="0" w:footer="0" w:header="0"/>
        </w:sectPr>
      </w:pPr>
    </w:p>
    <w:p>
      <w:pPr>
        <w:spacing w:after="0" w:line="227" w:lineRule="exact"/>
        <w:rPr>
          <w:sz w:val="20"/>
          <w:szCs w:val="20"/>
          <w:color w:val="auto"/>
        </w:rPr>
      </w:pPr>
    </w:p>
    <w:p>
      <w:pPr>
        <w:jc w:val="center"/>
        <w:ind w:right="224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22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3689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22225</wp:posOffset>
            </wp:positionV>
            <wp:extent cx="52228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5120" w:space="720"/>
            <w:col w:w="5520"/>
          </w:cols>
          <w:pgMar w:left="240" w:top="131" w:right="299" w:bottom="1440" w:gutter="0" w:footer="0" w:header="0"/>
          <w:type w:val="continuous"/>
        </w:sectPr>
      </w:pPr>
    </w:p>
    <w:p>
      <w:pPr>
        <w:ind w:left="1520"/>
        <w:spacing w:after="0"/>
        <w:tabs>
          <w:tab w:leader="none" w:pos="20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w w:val="88"/>
              </w:rPr>
              <w:t>Amended and Restated Certificate of Incorporation of the Registrant (Incorporated by reference to Exhibit 3.1 of the</w:t>
            </w:r>
          </w:p>
        </w:tc>
      </w:tr>
      <w:tr>
        <w:trPr>
          <w:trHeight w:val="222"/>
        </w:trPr>
        <w:tc>
          <w:tcPr>
            <w:tcW w:w="820" w:type="dxa"/>
            <w:vAlign w:val="bottom"/>
          </w:tcPr>
          <w:p>
            <w:pPr>
              <w:spacing w:after="0"/>
              <w:rPr>
                <w:sz w:val="19"/>
                <w:szCs w:val="19"/>
                <w:color w:val="auto"/>
              </w:rPr>
            </w:pP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Registrant's Registration Statement on Form S-1, as amended (File No. 333-188595))</w:t>
            </w:r>
          </w:p>
        </w:tc>
      </w:tr>
      <w:tr>
        <w:trPr>
          <w:trHeight w:val="426"/>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w w:val="93"/>
              </w:rPr>
              <w:t>Amended and Restated By-Laws of the Registrant (Incorporated by reference to Exhibit 3.2 of the Registrant's</w:t>
            </w:r>
          </w:p>
        </w:tc>
      </w:tr>
      <w:tr>
        <w:trPr>
          <w:trHeight w:val="222"/>
        </w:trPr>
        <w:tc>
          <w:tcPr>
            <w:tcW w:w="820" w:type="dxa"/>
            <w:vAlign w:val="bottom"/>
          </w:tcPr>
          <w:p>
            <w:pPr>
              <w:spacing w:after="0"/>
              <w:rPr>
                <w:sz w:val="19"/>
                <w:szCs w:val="19"/>
                <w:color w:val="auto"/>
              </w:rPr>
            </w:pP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Registration Statement on Form S-1, as amended (File No. 333-188595))</w:t>
            </w:r>
          </w:p>
        </w:tc>
      </w:tr>
      <w:tr>
        <w:trPr>
          <w:trHeight w:val="432"/>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Form of indenture for senior debt securities and the related form of senior debt security</w:t>
            </w:r>
          </w:p>
        </w:tc>
      </w:tr>
      <w:tr>
        <w:trPr>
          <w:trHeight w:val="432"/>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Form of indenture for subordinated debt securities and the related form of subordinated debt security</w:t>
            </w:r>
          </w:p>
        </w:tc>
      </w:tr>
      <w:tr>
        <w:trPr>
          <w:trHeight w:val="426"/>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w w:val="89"/>
              </w:rPr>
              <w:t>Specimen Common Stock Certificate of the Registrant (Incorporated by reference to Exhibit 4.1 of the Registrant's</w:t>
            </w:r>
          </w:p>
        </w:tc>
      </w:tr>
      <w:tr>
        <w:trPr>
          <w:trHeight w:val="222"/>
        </w:trPr>
        <w:tc>
          <w:tcPr>
            <w:tcW w:w="820" w:type="dxa"/>
            <w:vAlign w:val="bottom"/>
          </w:tcPr>
          <w:p>
            <w:pPr>
              <w:spacing w:after="0"/>
              <w:rPr>
                <w:sz w:val="19"/>
                <w:szCs w:val="19"/>
                <w:color w:val="auto"/>
              </w:rPr>
            </w:pP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Registration Statement on Form S-1, as amended (File No. 333-188595))</w:t>
            </w:r>
          </w:p>
        </w:tc>
      </w:tr>
      <w:tr>
        <w:trPr>
          <w:trHeight w:val="426"/>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w w:val="93"/>
              </w:rPr>
              <w:t>Investor Rights Agreement by and between the Registrant and certain of its stockholders dated April 28, 2008</w:t>
            </w:r>
          </w:p>
        </w:tc>
      </w:tr>
      <w:tr>
        <w:trPr>
          <w:trHeight w:val="216"/>
        </w:trPr>
        <w:tc>
          <w:tcPr>
            <w:tcW w:w="820" w:type="dxa"/>
            <w:vAlign w:val="bottom"/>
          </w:tcPr>
          <w:p>
            <w:pPr>
              <w:spacing w:after="0"/>
              <w:rPr>
                <w:sz w:val="18"/>
                <w:szCs w:val="18"/>
                <w:color w:val="auto"/>
              </w:rPr>
            </w:pPr>
          </w:p>
        </w:tc>
        <w:tc>
          <w:tcPr>
            <w:tcW w:w="8260" w:type="dxa"/>
            <w:vAlign w:val="bottom"/>
            <w:gridSpan w:val="2"/>
          </w:tcPr>
          <w:p>
            <w:pPr>
              <w:ind w:left="80"/>
              <w:spacing w:after="0"/>
              <w:rPr>
                <w:sz w:val="20"/>
                <w:szCs w:val="20"/>
                <w:color w:val="auto"/>
              </w:rPr>
            </w:pPr>
            <w:r>
              <w:rPr>
                <w:rFonts w:ascii="Arial" w:cs="Arial" w:eastAsia="Arial" w:hAnsi="Arial"/>
                <w:sz w:val="18"/>
                <w:szCs w:val="18"/>
                <w:color w:val="auto"/>
                <w:w w:val="89"/>
              </w:rPr>
              <w:t>(incorporated by reference to Exhibit 4.3 to the Registrant's Registration Statement on Form S-1, as amended (File</w:t>
            </w:r>
          </w:p>
        </w:tc>
      </w:tr>
      <w:tr>
        <w:trPr>
          <w:trHeight w:val="222"/>
        </w:trPr>
        <w:tc>
          <w:tcPr>
            <w:tcW w:w="820" w:type="dxa"/>
            <w:vAlign w:val="bottom"/>
          </w:tcPr>
          <w:p>
            <w:pPr>
              <w:spacing w:after="0"/>
              <w:rPr>
                <w:sz w:val="19"/>
                <w:szCs w:val="19"/>
                <w:color w:val="auto"/>
              </w:rPr>
            </w:pP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No. 333-188595))</w:t>
            </w:r>
          </w:p>
        </w:tc>
      </w:tr>
      <w:tr>
        <w:trPr>
          <w:trHeight w:val="426"/>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w w:val="88"/>
              </w:rPr>
              <w:t>Amendment No. 1 to Investor Rights Agreement by and between the Registrant and certain of its stockholders dated</w:t>
            </w:r>
          </w:p>
        </w:tc>
      </w:tr>
      <w:tr>
        <w:trPr>
          <w:trHeight w:val="216"/>
        </w:trPr>
        <w:tc>
          <w:tcPr>
            <w:tcW w:w="820" w:type="dxa"/>
            <w:vAlign w:val="bottom"/>
          </w:tcPr>
          <w:p>
            <w:pPr>
              <w:spacing w:after="0"/>
              <w:rPr>
                <w:sz w:val="18"/>
                <w:szCs w:val="18"/>
                <w:color w:val="auto"/>
              </w:rPr>
            </w:pPr>
          </w:p>
        </w:tc>
        <w:tc>
          <w:tcPr>
            <w:tcW w:w="8260" w:type="dxa"/>
            <w:vAlign w:val="bottom"/>
            <w:gridSpan w:val="2"/>
          </w:tcPr>
          <w:p>
            <w:pPr>
              <w:ind w:left="80"/>
              <w:spacing w:after="0"/>
              <w:rPr>
                <w:sz w:val="20"/>
                <w:szCs w:val="20"/>
                <w:color w:val="auto"/>
              </w:rPr>
            </w:pPr>
            <w:r>
              <w:rPr>
                <w:rFonts w:ascii="Arial" w:cs="Arial" w:eastAsia="Arial" w:hAnsi="Arial"/>
                <w:sz w:val="18"/>
                <w:szCs w:val="18"/>
                <w:color w:val="auto"/>
                <w:w w:val="89"/>
              </w:rPr>
              <w:t>April 11, 2013 (incorporated by reference to Exhibit 4.4 to the Registrant's Registration Statement on Form S-1, as</w:t>
            </w:r>
          </w:p>
        </w:tc>
      </w:tr>
      <w:tr>
        <w:trPr>
          <w:trHeight w:val="222"/>
        </w:trPr>
        <w:tc>
          <w:tcPr>
            <w:tcW w:w="820" w:type="dxa"/>
            <w:vAlign w:val="bottom"/>
          </w:tcPr>
          <w:p>
            <w:pPr>
              <w:spacing w:after="0"/>
              <w:rPr>
                <w:sz w:val="19"/>
                <w:szCs w:val="19"/>
                <w:color w:val="auto"/>
              </w:rPr>
            </w:pP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amended (File No. 333-188595))</w:t>
            </w:r>
          </w:p>
        </w:tc>
      </w:tr>
      <w:tr>
        <w:trPr>
          <w:trHeight w:val="432"/>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Form of Certificate of Designations</w:t>
            </w:r>
          </w:p>
        </w:tc>
      </w:tr>
      <w:tr>
        <w:trPr>
          <w:trHeight w:val="432"/>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Form of Warrant Agreements</w:t>
            </w:r>
          </w:p>
        </w:tc>
      </w:tr>
      <w:tr>
        <w:trPr>
          <w:trHeight w:val="432"/>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4.8*</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Form of Unit Certificate</w:t>
            </w:r>
          </w:p>
        </w:tc>
      </w:tr>
      <w:tr>
        <w:trPr>
          <w:trHeight w:val="432"/>
        </w:trPr>
        <w:tc>
          <w:tcPr>
            <w:tcW w:w="82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Form of Preferred Stock Certificate</w:t>
            </w:r>
          </w:p>
        </w:tc>
      </w:tr>
      <w:tr>
        <w:trPr>
          <w:trHeight w:val="432"/>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Opinion of Goodwin Procter LLP</w:t>
            </w:r>
          </w:p>
        </w:tc>
      </w:tr>
      <w:tr>
        <w:trPr>
          <w:trHeight w:val="432"/>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12.1</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23.1</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23.2</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Consent of Goodwin Procter LLP (included in Exhibit 5.1 hereto)</w:t>
            </w:r>
          </w:p>
        </w:tc>
      </w:tr>
      <w:tr>
        <w:trPr>
          <w:trHeight w:val="432"/>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24.1</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Power of Attorney (included on the signature pages to this registration statement)</w:t>
            </w:r>
          </w:p>
        </w:tc>
      </w:tr>
      <w:tr>
        <w:trPr>
          <w:trHeight w:val="432"/>
        </w:trPr>
        <w:tc>
          <w:tcPr>
            <w:tcW w:w="820" w:type="dxa"/>
            <w:vAlign w:val="bottom"/>
          </w:tcPr>
          <w:p>
            <w:pPr>
              <w:jc w:val="right"/>
              <w:spacing w:after="0"/>
              <w:rPr>
                <w:sz w:val="20"/>
                <w:szCs w:val="20"/>
                <w:color w:val="auto"/>
              </w:rPr>
            </w:pPr>
            <w:r>
              <w:rPr>
                <w:rFonts w:ascii="Arial" w:cs="Arial" w:eastAsia="Arial" w:hAnsi="Arial"/>
                <w:sz w:val="18"/>
                <w:szCs w:val="18"/>
                <w:color w:val="auto"/>
              </w:rPr>
              <w:t>25.1**</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432"/>
        </w:trPr>
        <w:tc>
          <w:tcPr>
            <w:tcW w:w="820" w:type="dxa"/>
            <w:vAlign w:val="bottom"/>
          </w:tcPr>
          <w:p>
            <w:pPr>
              <w:jc w:val="right"/>
              <w:spacing w:after="0"/>
              <w:rPr>
                <w:sz w:val="20"/>
                <w:szCs w:val="20"/>
                <w:color w:val="auto"/>
              </w:rPr>
            </w:pPr>
            <w:r>
              <w:rPr>
                <w:rFonts w:ascii="Arial" w:cs="Arial" w:eastAsia="Arial" w:hAnsi="Arial"/>
                <w:sz w:val="18"/>
                <w:szCs w:val="18"/>
                <w:color w:val="auto"/>
              </w:rPr>
              <w:t>25.2**</w:t>
            </w:r>
          </w:p>
        </w:tc>
        <w:tc>
          <w:tcPr>
            <w:tcW w:w="8260" w:type="dxa"/>
            <w:vAlign w:val="bottom"/>
            <w:gridSpan w:val="2"/>
          </w:tcPr>
          <w:p>
            <w:pPr>
              <w:ind w:left="80"/>
              <w:spacing w:after="0"/>
              <w:rPr>
                <w:sz w:val="20"/>
                <w:szCs w:val="20"/>
                <w:color w:val="auto"/>
              </w:rPr>
            </w:pPr>
            <w:r>
              <w:rPr>
                <w:rFonts w:ascii="Arial" w:cs="Arial" w:eastAsia="Arial" w:hAnsi="Arial"/>
                <w:sz w:val="18"/>
                <w:szCs w:val="18"/>
                <w:color w:val="auto"/>
                <w:w w:val="94"/>
              </w:rPr>
              <w:t>Form T-1 Statement of Eligibility of Trustee for Subordinated Indenture under the Trust Indenture Act of 1939</w:t>
            </w:r>
          </w:p>
        </w:tc>
      </w:tr>
      <w:tr>
        <w:trPr>
          <w:trHeight w:val="110"/>
        </w:trPr>
        <w:tc>
          <w:tcPr>
            <w:tcW w:w="8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670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be filed by amendment or as an exhibit to a document to be incorporated or deemed to be incorporated by reference in this registration statement, including a Current Report on Form 8-K.</w:t>
      </w:r>
    </w:p>
    <w:p>
      <w:pPr>
        <w:spacing w:after="0" w:line="213" w:lineRule="exact"/>
        <w:rPr>
          <w:sz w:val="20"/>
          <w:szCs w:val="20"/>
          <w:color w:val="auto"/>
        </w:rPr>
      </w:pPr>
    </w:p>
    <w:p>
      <w:pPr>
        <w:ind w:left="5580" w:right="4300" w:hanging="4431"/>
        <w:spacing w:after="0" w:line="519" w:lineRule="auto"/>
        <w:tabs>
          <w:tab w:leader="none" w:pos="168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be filed pursuant to Section 305(b)(2) of the Trust Indenture Act of 1939. 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47" w:name="page48"/>
    <w:bookmarkEnd w:id="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spacing w:after="0" w:line="46" w:lineRule="exact"/>
        <w:rPr>
          <w:sz w:val="20"/>
          <w:szCs w:val="20"/>
          <w:color w:val="auto"/>
        </w:rPr>
      </w:pPr>
    </w:p>
    <w:p>
      <w:pPr>
        <w:ind w:left="10580"/>
        <w:spacing w:after="0"/>
        <w:rPr>
          <w:sz w:val="20"/>
          <w:szCs w:val="20"/>
          <w:color w:val="auto"/>
        </w:rPr>
      </w:pPr>
      <w:r>
        <w:rPr>
          <w:rFonts w:ascii="Arial" w:cs="Arial" w:eastAsia="Arial" w:hAnsi="Arial"/>
          <w:sz w:val="17"/>
          <w:szCs w:val="17"/>
          <w:b w:val="1"/>
          <w:bCs w:val="1"/>
          <w:color w:val="auto"/>
        </w:rPr>
        <w:t>Exhibit 4.1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ESPERION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4540" w:type="dxa"/>
            <w:vAlign w:val="bottom"/>
          </w:tcPr>
          <w:p>
            <w:pPr>
              <w:jc w:val="center"/>
              <w:ind w:left="3350"/>
              <w:spacing w:after="0"/>
              <w:rPr>
                <w:sz w:val="20"/>
                <w:szCs w:val="20"/>
                <w:color w:val="auto"/>
              </w:rPr>
            </w:pPr>
            <w:r>
              <w:rPr>
                <w:rFonts w:ascii="Arial" w:cs="Arial" w:eastAsia="Arial" w:hAnsi="Arial"/>
                <w:sz w:val="18"/>
                <w:szCs w:val="18"/>
                <w:color w:val="auto"/>
                <w:w w:val="88"/>
              </w:rPr>
              <w:t>Trustee</w:t>
            </w:r>
          </w:p>
        </w:tc>
        <w:tc>
          <w:tcPr>
            <w:tcW w:w="4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720" w:type="dxa"/>
            <w:vAlign w:val="bottom"/>
          </w:tcPr>
          <w:p>
            <w:pPr>
              <w:spacing w:after="0"/>
              <w:rPr>
                <w:sz w:val="24"/>
                <w:szCs w:val="24"/>
                <w:color w:val="auto"/>
              </w:rPr>
            </w:pPr>
          </w:p>
        </w:tc>
        <w:tc>
          <w:tcPr>
            <w:tcW w:w="4540" w:type="dxa"/>
            <w:vAlign w:val="bottom"/>
          </w:tcPr>
          <w:p>
            <w:pPr>
              <w:jc w:val="center"/>
              <w:ind w:left="3350"/>
              <w:spacing w:after="0"/>
              <w:rPr>
                <w:sz w:val="20"/>
                <w:szCs w:val="20"/>
                <w:color w:val="auto"/>
              </w:rPr>
            </w:pPr>
            <w:r>
              <w:rPr>
                <w:rFonts w:ascii="Arial" w:cs="Arial" w:eastAsia="Arial" w:hAnsi="Arial"/>
                <w:sz w:val="18"/>
                <w:szCs w:val="18"/>
                <w:color w:val="auto"/>
                <w:w w:val="91"/>
              </w:rPr>
              <w:t>Indenture</w:t>
            </w:r>
          </w:p>
        </w:tc>
        <w:tc>
          <w:tcPr>
            <w:tcW w:w="4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4540" w:type="dxa"/>
            <w:vAlign w:val="bottom"/>
          </w:tcPr>
          <w:p>
            <w:pPr>
              <w:ind w:left="2980"/>
              <w:spacing w:after="0"/>
              <w:rPr>
                <w:sz w:val="20"/>
                <w:szCs w:val="20"/>
                <w:color w:val="auto"/>
              </w:rPr>
            </w:pPr>
            <w:r>
              <w:rPr>
                <w:rFonts w:ascii="Arial" w:cs="Arial" w:eastAsia="Arial" w:hAnsi="Arial"/>
                <w:sz w:val="18"/>
                <w:szCs w:val="18"/>
                <w:color w:val="auto"/>
              </w:rPr>
              <w:t>Dated as of</w:t>
            </w:r>
          </w:p>
        </w:tc>
        <w:tc>
          <w:tcPr>
            <w:tcW w:w="4020" w:type="dxa"/>
            <w:vAlign w:val="bottom"/>
          </w:tcPr>
          <w:p>
            <w:pPr>
              <w:jc w:val="right"/>
              <w:ind w:right="3450"/>
              <w:spacing w:after="0"/>
              <w:rPr>
                <w:sz w:val="20"/>
                <w:szCs w:val="20"/>
                <w:color w:val="auto"/>
              </w:rPr>
            </w:pPr>
            <w:r>
              <w:rPr>
                <w:rFonts w:ascii="Arial" w:cs="Arial" w:eastAsia="Arial" w:hAnsi="Arial"/>
                <w:sz w:val="18"/>
                <w:szCs w:val="18"/>
                <w:color w:val="auto"/>
              </w:rPr>
              <w:t>, 20</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720" w:type="dxa"/>
            <w:vAlign w:val="bottom"/>
          </w:tcPr>
          <w:p>
            <w:pPr>
              <w:spacing w:after="0"/>
              <w:rPr>
                <w:sz w:val="24"/>
                <w:szCs w:val="24"/>
                <w:color w:val="auto"/>
              </w:rPr>
            </w:pPr>
          </w:p>
        </w:tc>
        <w:tc>
          <w:tcPr>
            <w:tcW w:w="8560" w:type="dxa"/>
            <w:vAlign w:val="bottom"/>
            <w:gridSpan w:val="2"/>
          </w:tcPr>
          <w:p>
            <w:pPr>
              <w:jc w:val="center"/>
              <w:ind w:right="490"/>
              <w:spacing w:after="0"/>
              <w:rPr>
                <w:sz w:val="20"/>
                <w:szCs w:val="20"/>
                <w:color w:val="auto"/>
              </w:rPr>
            </w:pPr>
            <w:r>
              <w:rPr>
                <w:rFonts w:ascii="Arial" w:cs="Arial" w:eastAsia="Arial" w:hAnsi="Arial"/>
                <w:sz w:val="18"/>
                <w:szCs w:val="18"/>
                <w:color w:val="auto"/>
                <w:w w:val="90"/>
              </w:rPr>
              <w:t>Senior Debt Securities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1720" w:type="dxa"/>
            <w:vAlign w:val="bottom"/>
            <w:tcBorders>
              <w:bottom w:val="single" w:sz="8" w:color="808080"/>
            </w:tcBorders>
          </w:tcPr>
          <w:p>
            <w:pPr>
              <w:spacing w:after="0"/>
              <w:rPr>
                <w:sz w:val="24"/>
                <w:szCs w:val="24"/>
                <w:color w:val="auto"/>
              </w:rPr>
            </w:pPr>
          </w:p>
        </w:tc>
        <w:tc>
          <w:tcPr>
            <w:tcW w:w="8560" w:type="dxa"/>
            <w:vAlign w:val="bottom"/>
            <w:tcBorders>
              <w:bottom w:val="single" w:sz="8" w:color="808080"/>
            </w:tcBorders>
            <w:gridSpan w:val="2"/>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780"/>
        </w:trPr>
        <w:tc>
          <w:tcPr>
            <w:tcW w:w="1720" w:type="dxa"/>
            <w:vAlign w:val="bottom"/>
          </w:tcPr>
          <w:p>
            <w:pPr>
              <w:spacing w:after="0"/>
              <w:rPr>
                <w:sz w:val="24"/>
                <w:szCs w:val="24"/>
                <w:color w:val="auto"/>
              </w:rPr>
            </w:pPr>
          </w:p>
        </w:tc>
        <w:tc>
          <w:tcPr>
            <w:tcW w:w="8560" w:type="dxa"/>
            <w:vAlign w:val="bottom"/>
            <w:gridSpan w:val="2"/>
          </w:tcPr>
          <w:p>
            <w:pPr>
              <w:jc w:val="center"/>
              <w:ind w:right="490"/>
              <w:spacing w:after="0"/>
              <w:rPr>
                <w:sz w:val="20"/>
                <w:szCs w:val="20"/>
                <w:color w:val="auto"/>
              </w:rPr>
            </w:pPr>
            <w:r>
              <w:rPr>
                <w:rFonts w:ascii="Arial" w:cs="Arial" w:eastAsia="Arial" w:hAnsi="Arial"/>
                <w:sz w:val="18"/>
                <w:szCs w:val="18"/>
                <w:color w:val="auto"/>
                <w:w w:val="95"/>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7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280" w:type="dxa"/>
            <w:vAlign w:val="bottom"/>
            <w:gridSpan w:val="3"/>
          </w:tcPr>
          <w:p>
            <w:pPr>
              <w:spacing w:after="0"/>
              <w:rPr>
                <w:sz w:val="20"/>
                <w:szCs w:val="20"/>
                <w:color w:val="auto"/>
              </w:rPr>
            </w:pPr>
            <w:r>
              <w:rPr>
                <w:rFonts w:ascii="Arial" w:cs="Arial" w:eastAsia="Arial" w:hAnsi="Arial"/>
                <w:sz w:val="18"/>
                <w:szCs w:val="18"/>
                <w:color w:val="auto"/>
              </w:rPr>
              <w:t>ARTICLE ONE - DEFINITIONS AND OTHER PROVISIONS OF GENERAL APPLICATION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18"/>
        </w:trPr>
        <w:tc>
          <w:tcPr>
            <w:tcW w:w="1720" w:type="dxa"/>
            <w:vAlign w:val="bottom"/>
          </w:tcPr>
          <w:p>
            <w:pPr>
              <w:ind w:left="340"/>
              <w:spacing w:after="0"/>
              <w:rPr>
                <w:sz w:val="20"/>
                <w:szCs w:val="20"/>
                <w:color w:val="auto"/>
              </w:rPr>
            </w:pPr>
            <w:r>
              <w:rPr>
                <w:rFonts w:ascii="Arial" w:cs="Arial" w:eastAsia="Arial" w:hAnsi="Arial"/>
                <w:sz w:val="18"/>
                <w:szCs w:val="18"/>
                <w:color w:val="auto"/>
              </w:rPr>
              <w:t>SECTION 101.</w:t>
            </w:r>
          </w:p>
        </w:tc>
        <w:tc>
          <w:tcPr>
            <w:tcW w:w="454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402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102.</w:t>
            </w:r>
          </w:p>
        </w:tc>
        <w:tc>
          <w:tcPr>
            <w:tcW w:w="4540" w:type="dxa"/>
            <w:vAlign w:val="bottom"/>
          </w:tcPr>
          <w:p>
            <w:pPr>
              <w:ind w:left="280"/>
              <w:spacing w:after="0"/>
              <w:rPr>
                <w:sz w:val="20"/>
                <w:szCs w:val="20"/>
                <w:color w:val="auto"/>
              </w:rPr>
            </w:pPr>
            <w:r>
              <w:rPr>
                <w:rFonts w:ascii="Arial" w:cs="Arial" w:eastAsia="Arial" w:hAnsi="Arial"/>
                <w:sz w:val="18"/>
                <w:szCs w:val="18"/>
                <w:color w:val="auto"/>
              </w:rPr>
              <w:t>Compliance Certificates and Opinions</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103.</w:t>
            </w:r>
          </w:p>
        </w:tc>
        <w:tc>
          <w:tcPr>
            <w:tcW w:w="4540" w:type="dxa"/>
            <w:vAlign w:val="bottom"/>
          </w:tcPr>
          <w:p>
            <w:pPr>
              <w:ind w:left="280"/>
              <w:spacing w:after="0"/>
              <w:rPr>
                <w:sz w:val="20"/>
                <w:szCs w:val="20"/>
                <w:color w:val="auto"/>
              </w:rPr>
            </w:pPr>
            <w:r>
              <w:rPr>
                <w:rFonts w:ascii="Arial" w:cs="Arial" w:eastAsia="Arial" w:hAnsi="Arial"/>
                <w:sz w:val="18"/>
                <w:szCs w:val="18"/>
                <w:color w:val="auto"/>
              </w:rPr>
              <w:t>Form of Documents Delivered to Trustee</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104.</w:t>
            </w:r>
          </w:p>
        </w:tc>
        <w:tc>
          <w:tcPr>
            <w:tcW w:w="4540" w:type="dxa"/>
            <w:vAlign w:val="bottom"/>
          </w:tcPr>
          <w:p>
            <w:pPr>
              <w:ind w:left="280"/>
              <w:spacing w:after="0"/>
              <w:rPr>
                <w:sz w:val="20"/>
                <w:szCs w:val="20"/>
                <w:color w:val="auto"/>
              </w:rPr>
            </w:pPr>
            <w:r>
              <w:rPr>
                <w:rFonts w:ascii="Arial" w:cs="Arial" w:eastAsia="Arial" w:hAnsi="Arial"/>
                <w:sz w:val="18"/>
                <w:szCs w:val="18"/>
                <w:color w:val="auto"/>
              </w:rPr>
              <w:t>Acts of Holders</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105.</w:t>
            </w:r>
          </w:p>
        </w:tc>
        <w:tc>
          <w:tcPr>
            <w:tcW w:w="4540" w:type="dxa"/>
            <w:vAlign w:val="bottom"/>
          </w:tcPr>
          <w:p>
            <w:pPr>
              <w:ind w:left="280"/>
              <w:spacing w:after="0"/>
              <w:rPr>
                <w:sz w:val="20"/>
                <w:szCs w:val="20"/>
                <w:color w:val="auto"/>
              </w:rPr>
            </w:pPr>
            <w:r>
              <w:rPr>
                <w:rFonts w:ascii="Arial" w:cs="Arial" w:eastAsia="Arial" w:hAnsi="Arial"/>
                <w:sz w:val="18"/>
                <w:szCs w:val="18"/>
                <w:color w:val="auto"/>
              </w:rPr>
              <w:t>Notices, etc., to Trustee and Company</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106.</w:t>
            </w:r>
          </w:p>
        </w:tc>
        <w:tc>
          <w:tcPr>
            <w:tcW w:w="4540" w:type="dxa"/>
            <w:vAlign w:val="bottom"/>
          </w:tcPr>
          <w:p>
            <w:pPr>
              <w:ind w:left="280"/>
              <w:spacing w:after="0"/>
              <w:rPr>
                <w:sz w:val="20"/>
                <w:szCs w:val="20"/>
                <w:color w:val="auto"/>
              </w:rPr>
            </w:pPr>
            <w:r>
              <w:rPr>
                <w:rFonts w:ascii="Arial" w:cs="Arial" w:eastAsia="Arial" w:hAnsi="Arial"/>
                <w:sz w:val="18"/>
                <w:szCs w:val="18"/>
                <w:color w:val="auto"/>
              </w:rPr>
              <w:t>Notice to Holders; Waiver</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107.</w:t>
            </w:r>
          </w:p>
        </w:tc>
        <w:tc>
          <w:tcPr>
            <w:tcW w:w="4540" w:type="dxa"/>
            <w:vAlign w:val="bottom"/>
          </w:tcPr>
          <w:p>
            <w:pPr>
              <w:ind w:left="280"/>
              <w:spacing w:after="0"/>
              <w:rPr>
                <w:sz w:val="20"/>
                <w:szCs w:val="20"/>
                <w:color w:val="auto"/>
              </w:rPr>
            </w:pPr>
            <w:r>
              <w:rPr>
                <w:rFonts w:ascii="Arial" w:cs="Arial" w:eastAsia="Arial" w:hAnsi="Arial"/>
                <w:sz w:val="18"/>
                <w:szCs w:val="18"/>
                <w:color w:val="auto"/>
                <w:w w:val="95"/>
              </w:rPr>
              <w:t>Counterparts; Effect of Headings and Table of Contents</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108.</w:t>
            </w:r>
          </w:p>
        </w:tc>
        <w:tc>
          <w:tcPr>
            <w:tcW w:w="4540" w:type="dxa"/>
            <w:vAlign w:val="bottom"/>
          </w:tcPr>
          <w:p>
            <w:pPr>
              <w:ind w:left="280"/>
              <w:spacing w:after="0"/>
              <w:rPr>
                <w:sz w:val="20"/>
                <w:szCs w:val="20"/>
                <w:color w:val="auto"/>
              </w:rPr>
            </w:pPr>
            <w:r>
              <w:rPr>
                <w:rFonts w:ascii="Arial" w:cs="Arial" w:eastAsia="Arial" w:hAnsi="Arial"/>
                <w:sz w:val="18"/>
                <w:szCs w:val="18"/>
                <w:color w:val="auto"/>
              </w:rPr>
              <w:t>Successors and Assigns</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109.</w:t>
            </w:r>
          </w:p>
        </w:tc>
        <w:tc>
          <w:tcPr>
            <w:tcW w:w="4540" w:type="dxa"/>
            <w:vAlign w:val="bottom"/>
          </w:tcPr>
          <w:p>
            <w:pPr>
              <w:ind w:left="280"/>
              <w:spacing w:after="0"/>
              <w:rPr>
                <w:sz w:val="20"/>
                <w:szCs w:val="20"/>
                <w:color w:val="auto"/>
              </w:rPr>
            </w:pPr>
            <w:r>
              <w:rPr>
                <w:rFonts w:ascii="Arial" w:cs="Arial" w:eastAsia="Arial" w:hAnsi="Arial"/>
                <w:sz w:val="18"/>
                <w:szCs w:val="18"/>
                <w:color w:val="auto"/>
              </w:rPr>
              <w:t>Severability Clause</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110.</w:t>
            </w:r>
          </w:p>
        </w:tc>
        <w:tc>
          <w:tcPr>
            <w:tcW w:w="4540" w:type="dxa"/>
            <w:vAlign w:val="bottom"/>
          </w:tcPr>
          <w:p>
            <w:pPr>
              <w:ind w:left="280"/>
              <w:spacing w:after="0"/>
              <w:rPr>
                <w:sz w:val="20"/>
                <w:szCs w:val="20"/>
                <w:color w:val="auto"/>
              </w:rPr>
            </w:pPr>
            <w:r>
              <w:rPr>
                <w:rFonts w:ascii="Arial" w:cs="Arial" w:eastAsia="Arial" w:hAnsi="Arial"/>
                <w:sz w:val="18"/>
                <w:szCs w:val="18"/>
                <w:color w:val="auto"/>
              </w:rPr>
              <w:t>Benefits of Indenture</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111.</w:t>
            </w:r>
          </w:p>
        </w:tc>
        <w:tc>
          <w:tcPr>
            <w:tcW w:w="4540" w:type="dxa"/>
            <w:vAlign w:val="bottom"/>
          </w:tcPr>
          <w:p>
            <w:pPr>
              <w:ind w:left="280"/>
              <w:spacing w:after="0"/>
              <w:rPr>
                <w:sz w:val="20"/>
                <w:szCs w:val="20"/>
                <w:color w:val="auto"/>
              </w:rPr>
            </w:pPr>
            <w:r>
              <w:rPr>
                <w:rFonts w:ascii="Arial" w:cs="Arial" w:eastAsia="Arial" w:hAnsi="Arial"/>
                <w:sz w:val="18"/>
                <w:szCs w:val="18"/>
                <w:color w:val="auto"/>
              </w:rPr>
              <w:t>Governing Law</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112.</w:t>
            </w:r>
          </w:p>
        </w:tc>
        <w:tc>
          <w:tcPr>
            <w:tcW w:w="4540" w:type="dxa"/>
            <w:vAlign w:val="bottom"/>
          </w:tcPr>
          <w:p>
            <w:pPr>
              <w:ind w:left="280"/>
              <w:spacing w:after="0"/>
              <w:rPr>
                <w:sz w:val="20"/>
                <w:szCs w:val="20"/>
                <w:color w:val="auto"/>
              </w:rPr>
            </w:pPr>
            <w:r>
              <w:rPr>
                <w:rFonts w:ascii="Arial" w:cs="Arial" w:eastAsia="Arial" w:hAnsi="Arial"/>
                <w:sz w:val="18"/>
                <w:szCs w:val="18"/>
                <w:color w:val="auto"/>
              </w:rPr>
              <w:t>Legal Holidays</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113.</w:t>
            </w:r>
          </w:p>
        </w:tc>
        <w:tc>
          <w:tcPr>
            <w:tcW w:w="8560" w:type="dxa"/>
            <w:vAlign w:val="bottom"/>
            <w:gridSpan w:val="2"/>
          </w:tcPr>
          <w:p>
            <w:pPr>
              <w:ind w:left="280"/>
              <w:spacing w:after="0"/>
              <w:rPr>
                <w:sz w:val="20"/>
                <w:szCs w:val="20"/>
                <w:color w:val="auto"/>
              </w:rPr>
            </w:pPr>
            <w:r>
              <w:rPr>
                <w:rFonts w:ascii="Arial" w:cs="Arial" w:eastAsia="Arial" w:hAnsi="Arial"/>
                <w:sz w:val="18"/>
                <w:szCs w:val="18"/>
                <w:color w:val="auto"/>
              </w:rPr>
              <w:t>Limited Liability; Immunity of Stockholders, Directors, Officers and Agents of the Company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1720" w:type="dxa"/>
            <w:vAlign w:val="bottom"/>
          </w:tcPr>
          <w:p>
            <w:pPr>
              <w:ind w:left="340"/>
              <w:spacing w:after="0"/>
              <w:rPr>
                <w:sz w:val="20"/>
                <w:szCs w:val="20"/>
                <w:color w:val="auto"/>
              </w:rPr>
            </w:pPr>
            <w:r>
              <w:rPr>
                <w:rFonts w:ascii="Arial" w:cs="Arial" w:eastAsia="Arial" w:hAnsi="Arial"/>
                <w:sz w:val="18"/>
                <w:szCs w:val="18"/>
                <w:color w:val="auto"/>
              </w:rPr>
              <w:t>SECTION 114.</w:t>
            </w:r>
          </w:p>
        </w:tc>
        <w:tc>
          <w:tcPr>
            <w:tcW w:w="4540" w:type="dxa"/>
            <w:vAlign w:val="bottom"/>
          </w:tcPr>
          <w:p>
            <w:pPr>
              <w:ind w:left="280"/>
              <w:spacing w:after="0"/>
              <w:rPr>
                <w:sz w:val="20"/>
                <w:szCs w:val="20"/>
                <w:color w:val="auto"/>
              </w:rPr>
            </w:pPr>
            <w:r>
              <w:rPr>
                <w:rFonts w:ascii="Arial" w:cs="Arial" w:eastAsia="Arial" w:hAnsi="Arial"/>
                <w:sz w:val="18"/>
                <w:szCs w:val="18"/>
                <w:color w:val="auto"/>
              </w:rPr>
              <w:t>Conflict with Trust Indenture Act</w:t>
            </w:r>
          </w:p>
        </w:tc>
        <w:tc>
          <w:tcPr>
            <w:tcW w:w="40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1720" w:type="dxa"/>
            <w:vAlign w:val="bottom"/>
          </w:tcPr>
          <w:p>
            <w:pPr>
              <w:spacing w:after="0"/>
              <w:rPr>
                <w:sz w:val="24"/>
                <w:szCs w:val="24"/>
                <w:color w:val="auto"/>
              </w:rPr>
            </w:pPr>
          </w:p>
        </w:tc>
        <w:tc>
          <w:tcPr>
            <w:tcW w:w="4540" w:type="dxa"/>
            <w:vAlign w:val="bottom"/>
          </w:tcPr>
          <w:p>
            <w:pPr>
              <w:jc w:val="center"/>
              <w:ind w:left="3350"/>
              <w:spacing w:after="0"/>
              <w:rPr>
                <w:sz w:val="20"/>
                <w:szCs w:val="20"/>
                <w:color w:val="auto"/>
              </w:rPr>
            </w:pPr>
            <w:r>
              <w:rPr>
                <w:rFonts w:ascii="Arial" w:cs="Arial" w:eastAsia="Arial" w:hAnsi="Arial"/>
                <w:sz w:val="18"/>
                <w:szCs w:val="18"/>
                <w:color w:val="auto"/>
                <w:w w:val="99"/>
              </w:rPr>
              <w:t>1</w:t>
            </w:r>
          </w:p>
        </w:tc>
        <w:tc>
          <w:tcPr>
            <w:tcW w:w="4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60" w:type="dxa"/>
            <w:vAlign w:val="bottom"/>
            <w:tcBorders>
              <w:bottom w:val="single" w:sz="8" w:color="808080"/>
            </w:tcBorders>
            <w:gridSpan w:val="2"/>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gridSpan w:val="2"/>
          </w:tcPr>
          <w:p>
            <w:pPr>
              <w:spacing w:after="0"/>
              <w:rPr>
                <w:sz w:val="11"/>
                <w:szCs w:val="11"/>
                <w:color w:val="auto"/>
              </w:rPr>
            </w:pPr>
          </w:p>
        </w:tc>
      </w:tr>
      <w:tr>
        <w:trPr>
          <w:trHeight w:val="780"/>
        </w:trPr>
        <w:tc>
          <w:tcPr>
            <w:tcW w:w="6260" w:type="dxa"/>
            <w:vAlign w:val="bottom"/>
            <w:gridSpan w:val="2"/>
          </w:tcPr>
          <w:p>
            <w:pPr>
              <w:spacing w:after="0"/>
              <w:rPr>
                <w:sz w:val="20"/>
                <w:szCs w:val="20"/>
                <w:color w:val="auto"/>
              </w:rPr>
            </w:pPr>
            <w:r>
              <w:rPr>
                <w:rFonts w:ascii="Arial" w:cs="Arial" w:eastAsia="Arial" w:hAnsi="Arial"/>
                <w:sz w:val="18"/>
                <w:szCs w:val="18"/>
                <w:color w:val="auto"/>
              </w:rPr>
              <w:t>ARTICLE TWO - SECURITIES FORMS</w:t>
            </w:r>
          </w:p>
        </w:tc>
        <w:tc>
          <w:tcPr>
            <w:tcW w:w="402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18"/>
        </w:trPr>
        <w:tc>
          <w:tcPr>
            <w:tcW w:w="1720" w:type="dxa"/>
            <w:vAlign w:val="bottom"/>
          </w:tcPr>
          <w:p>
            <w:pPr>
              <w:ind w:left="340"/>
              <w:spacing w:after="0"/>
              <w:rPr>
                <w:sz w:val="20"/>
                <w:szCs w:val="20"/>
                <w:color w:val="auto"/>
              </w:rPr>
            </w:pPr>
            <w:r>
              <w:rPr>
                <w:rFonts w:ascii="Arial" w:cs="Arial" w:eastAsia="Arial" w:hAnsi="Arial"/>
                <w:sz w:val="18"/>
                <w:szCs w:val="18"/>
                <w:color w:val="auto"/>
              </w:rPr>
              <w:t>SECTION 201.</w:t>
            </w:r>
          </w:p>
        </w:tc>
        <w:tc>
          <w:tcPr>
            <w:tcW w:w="4540" w:type="dxa"/>
            <w:vAlign w:val="bottom"/>
          </w:tcPr>
          <w:p>
            <w:pPr>
              <w:ind w:left="280"/>
              <w:spacing w:after="0"/>
              <w:rPr>
                <w:sz w:val="20"/>
                <w:szCs w:val="20"/>
                <w:color w:val="auto"/>
              </w:rPr>
            </w:pPr>
            <w:r>
              <w:rPr>
                <w:rFonts w:ascii="Arial" w:cs="Arial" w:eastAsia="Arial" w:hAnsi="Arial"/>
                <w:sz w:val="18"/>
                <w:szCs w:val="18"/>
                <w:color w:val="auto"/>
              </w:rPr>
              <w:t>Forms of Securities</w:t>
            </w:r>
          </w:p>
        </w:tc>
        <w:tc>
          <w:tcPr>
            <w:tcW w:w="402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202.</w:t>
            </w:r>
          </w:p>
        </w:tc>
        <w:tc>
          <w:tcPr>
            <w:tcW w:w="4540" w:type="dxa"/>
            <w:vAlign w:val="bottom"/>
          </w:tcPr>
          <w:p>
            <w:pPr>
              <w:ind w:left="280"/>
              <w:spacing w:after="0"/>
              <w:rPr>
                <w:sz w:val="20"/>
                <w:szCs w:val="20"/>
                <w:color w:val="auto"/>
              </w:rPr>
            </w:pPr>
            <w:r>
              <w:rPr>
                <w:rFonts w:ascii="Arial" w:cs="Arial" w:eastAsia="Arial" w:hAnsi="Arial"/>
                <w:sz w:val="18"/>
                <w:szCs w:val="18"/>
                <w:color w:val="auto"/>
              </w:rPr>
              <w:t>Form of Trustee’s Certificate of Authentication</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1720" w:type="dxa"/>
            <w:vAlign w:val="bottom"/>
          </w:tcPr>
          <w:p>
            <w:pPr>
              <w:ind w:left="340"/>
              <w:spacing w:after="0"/>
              <w:rPr>
                <w:sz w:val="20"/>
                <w:szCs w:val="20"/>
                <w:color w:val="auto"/>
              </w:rPr>
            </w:pPr>
            <w:r>
              <w:rPr>
                <w:rFonts w:ascii="Arial" w:cs="Arial" w:eastAsia="Arial" w:hAnsi="Arial"/>
                <w:sz w:val="18"/>
                <w:szCs w:val="18"/>
                <w:color w:val="auto"/>
              </w:rPr>
              <w:t>SECTION 203.</w:t>
            </w:r>
          </w:p>
        </w:tc>
        <w:tc>
          <w:tcPr>
            <w:tcW w:w="4540" w:type="dxa"/>
            <w:vAlign w:val="bottom"/>
          </w:tcPr>
          <w:p>
            <w:pPr>
              <w:ind w:left="280"/>
              <w:spacing w:after="0"/>
              <w:rPr>
                <w:sz w:val="20"/>
                <w:szCs w:val="20"/>
                <w:color w:val="auto"/>
              </w:rPr>
            </w:pPr>
            <w:r>
              <w:rPr>
                <w:rFonts w:ascii="Arial" w:cs="Arial" w:eastAsia="Arial" w:hAnsi="Arial"/>
                <w:sz w:val="18"/>
                <w:szCs w:val="18"/>
                <w:color w:val="auto"/>
              </w:rPr>
              <w:t>Securities Issuable in Global Form</w:t>
            </w:r>
          </w:p>
        </w:tc>
        <w:tc>
          <w:tcPr>
            <w:tcW w:w="40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ARTICLE THREE - THE SECURITIES</w:t>
            </w:r>
          </w:p>
        </w:tc>
        <w:tc>
          <w:tcPr>
            <w:tcW w:w="402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18"/>
        </w:trPr>
        <w:tc>
          <w:tcPr>
            <w:tcW w:w="1720" w:type="dxa"/>
            <w:vAlign w:val="bottom"/>
          </w:tcPr>
          <w:p>
            <w:pPr>
              <w:ind w:left="340"/>
              <w:spacing w:after="0"/>
              <w:rPr>
                <w:sz w:val="20"/>
                <w:szCs w:val="20"/>
                <w:color w:val="auto"/>
              </w:rPr>
            </w:pPr>
            <w:r>
              <w:rPr>
                <w:rFonts w:ascii="Arial" w:cs="Arial" w:eastAsia="Arial" w:hAnsi="Arial"/>
                <w:sz w:val="18"/>
                <w:szCs w:val="18"/>
                <w:color w:val="auto"/>
              </w:rPr>
              <w:t>SECTION 301.</w:t>
            </w:r>
          </w:p>
        </w:tc>
        <w:tc>
          <w:tcPr>
            <w:tcW w:w="4540" w:type="dxa"/>
            <w:vAlign w:val="bottom"/>
          </w:tcPr>
          <w:p>
            <w:pPr>
              <w:ind w:left="280"/>
              <w:spacing w:after="0"/>
              <w:rPr>
                <w:sz w:val="20"/>
                <w:szCs w:val="20"/>
                <w:color w:val="auto"/>
              </w:rPr>
            </w:pPr>
            <w:r>
              <w:rPr>
                <w:rFonts w:ascii="Arial" w:cs="Arial" w:eastAsia="Arial" w:hAnsi="Arial"/>
                <w:sz w:val="18"/>
                <w:szCs w:val="18"/>
                <w:color w:val="auto"/>
              </w:rPr>
              <w:t>Amount Unlimited; Issuable in Series</w:t>
            </w:r>
          </w:p>
        </w:tc>
        <w:tc>
          <w:tcPr>
            <w:tcW w:w="402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302.</w:t>
            </w:r>
          </w:p>
        </w:tc>
        <w:tc>
          <w:tcPr>
            <w:tcW w:w="4540" w:type="dxa"/>
            <w:vAlign w:val="bottom"/>
          </w:tcPr>
          <w:p>
            <w:pPr>
              <w:ind w:left="280"/>
              <w:spacing w:after="0"/>
              <w:rPr>
                <w:sz w:val="20"/>
                <w:szCs w:val="20"/>
                <w:color w:val="auto"/>
              </w:rPr>
            </w:pPr>
            <w:r>
              <w:rPr>
                <w:rFonts w:ascii="Arial" w:cs="Arial" w:eastAsia="Arial" w:hAnsi="Arial"/>
                <w:sz w:val="18"/>
                <w:szCs w:val="18"/>
                <w:color w:val="auto"/>
              </w:rPr>
              <w:t>Denominations</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303.</w:t>
            </w:r>
          </w:p>
        </w:tc>
        <w:tc>
          <w:tcPr>
            <w:tcW w:w="4540" w:type="dxa"/>
            <w:vAlign w:val="bottom"/>
          </w:tcPr>
          <w:p>
            <w:pPr>
              <w:ind w:left="280"/>
              <w:spacing w:after="0"/>
              <w:rPr>
                <w:sz w:val="20"/>
                <w:szCs w:val="20"/>
                <w:color w:val="auto"/>
              </w:rPr>
            </w:pPr>
            <w:r>
              <w:rPr>
                <w:rFonts w:ascii="Arial" w:cs="Arial" w:eastAsia="Arial" w:hAnsi="Arial"/>
                <w:sz w:val="18"/>
                <w:szCs w:val="18"/>
                <w:color w:val="auto"/>
              </w:rPr>
              <w:t>Execution, Authentication, Delivery and Dating</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304.</w:t>
            </w:r>
          </w:p>
        </w:tc>
        <w:tc>
          <w:tcPr>
            <w:tcW w:w="4540" w:type="dxa"/>
            <w:vAlign w:val="bottom"/>
          </w:tcPr>
          <w:p>
            <w:pPr>
              <w:ind w:left="280"/>
              <w:spacing w:after="0"/>
              <w:rPr>
                <w:sz w:val="20"/>
                <w:szCs w:val="20"/>
                <w:color w:val="auto"/>
              </w:rPr>
            </w:pPr>
            <w:r>
              <w:rPr>
                <w:rFonts w:ascii="Arial" w:cs="Arial" w:eastAsia="Arial" w:hAnsi="Arial"/>
                <w:sz w:val="18"/>
                <w:szCs w:val="18"/>
                <w:color w:val="auto"/>
              </w:rPr>
              <w:t>Temporary Securities</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305.</w:t>
            </w:r>
          </w:p>
        </w:tc>
        <w:tc>
          <w:tcPr>
            <w:tcW w:w="8560" w:type="dxa"/>
            <w:vAlign w:val="bottom"/>
            <w:gridSpan w:val="2"/>
          </w:tcPr>
          <w:p>
            <w:pPr>
              <w:ind w:left="280"/>
              <w:spacing w:after="0"/>
              <w:rPr>
                <w:sz w:val="20"/>
                <w:szCs w:val="20"/>
                <w:color w:val="auto"/>
              </w:rPr>
            </w:pPr>
            <w:r>
              <w:rPr>
                <w:rFonts w:ascii="Arial" w:cs="Arial" w:eastAsia="Arial" w:hAnsi="Arial"/>
                <w:sz w:val="18"/>
                <w:szCs w:val="18"/>
                <w:color w:val="auto"/>
              </w:rPr>
              <w:t>Registration, Registration of Transfer, Conversion and Exchange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306.</w:t>
            </w:r>
          </w:p>
        </w:tc>
        <w:tc>
          <w:tcPr>
            <w:tcW w:w="4540" w:type="dxa"/>
            <w:vAlign w:val="bottom"/>
          </w:tcPr>
          <w:p>
            <w:pPr>
              <w:ind w:left="280"/>
              <w:spacing w:after="0"/>
              <w:rPr>
                <w:sz w:val="20"/>
                <w:szCs w:val="20"/>
                <w:color w:val="auto"/>
              </w:rPr>
            </w:pPr>
            <w:r>
              <w:rPr>
                <w:rFonts w:ascii="Arial" w:cs="Arial" w:eastAsia="Arial" w:hAnsi="Arial"/>
                <w:sz w:val="18"/>
                <w:szCs w:val="18"/>
                <w:color w:val="auto"/>
              </w:rPr>
              <w:t>Mutilated, Destroyed, Lost and Stolen Securities</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307.</w:t>
            </w:r>
          </w:p>
        </w:tc>
        <w:tc>
          <w:tcPr>
            <w:tcW w:w="4540" w:type="dxa"/>
            <w:vAlign w:val="bottom"/>
          </w:tcPr>
          <w:p>
            <w:pPr>
              <w:ind w:left="280"/>
              <w:spacing w:after="0"/>
              <w:rPr>
                <w:sz w:val="20"/>
                <w:szCs w:val="20"/>
                <w:color w:val="auto"/>
              </w:rPr>
            </w:pPr>
            <w:r>
              <w:rPr>
                <w:rFonts w:ascii="Arial" w:cs="Arial" w:eastAsia="Arial" w:hAnsi="Arial"/>
                <w:sz w:val="18"/>
                <w:szCs w:val="18"/>
                <w:color w:val="auto"/>
              </w:rPr>
              <w:t>Payment of Interest; Interest Rights Preserved</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308.</w:t>
            </w:r>
          </w:p>
        </w:tc>
        <w:tc>
          <w:tcPr>
            <w:tcW w:w="4540" w:type="dxa"/>
            <w:vAlign w:val="bottom"/>
          </w:tcPr>
          <w:p>
            <w:pPr>
              <w:ind w:left="280"/>
              <w:spacing w:after="0"/>
              <w:rPr>
                <w:sz w:val="20"/>
                <w:szCs w:val="20"/>
                <w:color w:val="auto"/>
              </w:rPr>
            </w:pPr>
            <w:r>
              <w:rPr>
                <w:rFonts w:ascii="Arial" w:cs="Arial" w:eastAsia="Arial" w:hAnsi="Arial"/>
                <w:sz w:val="18"/>
                <w:szCs w:val="18"/>
                <w:color w:val="auto"/>
              </w:rPr>
              <w:t>Persons Deemed Owners</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309.</w:t>
            </w:r>
          </w:p>
        </w:tc>
        <w:tc>
          <w:tcPr>
            <w:tcW w:w="4540" w:type="dxa"/>
            <w:vAlign w:val="bottom"/>
          </w:tcPr>
          <w:p>
            <w:pPr>
              <w:ind w:left="280"/>
              <w:spacing w:after="0"/>
              <w:rPr>
                <w:sz w:val="20"/>
                <w:szCs w:val="20"/>
                <w:color w:val="auto"/>
              </w:rPr>
            </w:pPr>
            <w:r>
              <w:rPr>
                <w:rFonts w:ascii="Arial" w:cs="Arial" w:eastAsia="Arial" w:hAnsi="Arial"/>
                <w:sz w:val="18"/>
                <w:szCs w:val="18"/>
                <w:color w:val="auto"/>
              </w:rPr>
              <w:t>Cancellation</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310.</w:t>
            </w:r>
          </w:p>
        </w:tc>
        <w:tc>
          <w:tcPr>
            <w:tcW w:w="4540" w:type="dxa"/>
            <w:vAlign w:val="bottom"/>
          </w:tcPr>
          <w:p>
            <w:pPr>
              <w:ind w:left="280"/>
              <w:spacing w:after="0"/>
              <w:rPr>
                <w:sz w:val="20"/>
                <w:szCs w:val="20"/>
                <w:color w:val="auto"/>
              </w:rPr>
            </w:pPr>
            <w:r>
              <w:rPr>
                <w:rFonts w:ascii="Arial" w:cs="Arial" w:eastAsia="Arial" w:hAnsi="Arial"/>
                <w:sz w:val="18"/>
                <w:szCs w:val="18"/>
                <w:color w:val="auto"/>
              </w:rPr>
              <w:t>Computation of Interest</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1720" w:type="dxa"/>
            <w:vAlign w:val="bottom"/>
          </w:tcPr>
          <w:p>
            <w:pPr>
              <w:ind w:left="340"/>
              <w:spacing w:after="0"/>
              <w:rPr>
                <w:sz w:val="20"/>
                <w:szCs w:val="20"/>
                <w:color w:val="auto"/>
              </w:rPr>
            </w:pPr>
            <w:r>
              <w:rPr>
                <w:rFonts w:ascii="Arial" w:cs="Arial" w:eastAsia="Arial" w:hAnsi="Arial"/>
                <w:sz w:val="18"/>
                <w:szCs w:val="18"/>
                <w:color w:val="auto"/>
              </w:rPr>
              <w:t>SECTION 311.</w:t>
            </w:r>
          </w:p>
        </w:tc>
        <w:tc>
          <w:tcPr>
            <w:tcW w:w="4540" w:type="dxa"/>
            <w:vAlign w:val="bottom"/>
          </w:tcPr>
          <w:p>
            <w:pPr>
              <w:ind w:left="280"/>
              <w:spacing w:after="0"/>
              <w:rPr>
                <w:sz w:val="20"/>
                <w:szCs w:val="20"/>
                <w:color w:val="auto"/>
              </w:rPr>
            </w:pPr>
            <w:r>
              <w:rPr>
                <w:rFonts w:ascii="Arial" w:cs="Arial" w:eastAsia="Arial" w:hAnsi="Arial"/>
                <w:sz w:val="18"/>
                <w:szCs w:val="18"/>
                <w:color w:val="auto"/>
              </w:rPr>
              <w:t>CUSIP Numbers</w:t>
            </w:r>
          </w:p>
        </w:tc>
        <w:tc>
          <w:tcPr>
            <w:tcW w:w="40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ARTICLE FOUR - SATISFACTION AND DISCHARGE</w:t>
            </w:r>
          </w:p>
        </w:tc>
        <w:tc>
          <w:tcPr>
            <w:tcW w:w="402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418"/>
        </w:trPr>
        <w:tc>
          <w:tcPr>
            <w:tcW w:w="1720" w:type="dxa"/>
            <w:vAlign w:val="bottom"/>
          </w:tcPr>
          <w:p>
            <w:pPr>
              <w:ind w:left="340"/>
              <w:spacing w:after="0"/>
              <w:rPr>
                <w:sz w:val="20"/>
                <w:szCs w:val="20"/>
                <w:color w:val="auto"/>
              </w:rPr>
            </w:pPr>
            <w:r>
              <w:rPr>
                <w:rFonts w:ascii="Arial" w:cs="Arial" w:eastAsia="Arial" w:hAnsi="Arial"/>
                <w:sz w:val="18"/>
                <w:szCs w:val="18"/>
                <w:color w:val="auto"/>
              </w:rPr>
              <w:t>SECTION 401.</w:t>
            </w:r>
          </w:p>
        </w:tc>
        <w:tc>
          <w:tcPr>
            <w:tcW w:w="4540" w:type="dxa"/>
            <w:vAlign w:val="bottom"/>
          </w:tcPr>
          <w:p>
            <w:pPr>
              <w:ind w:left="280"/>
              <w:spacing w:after="0"/>
              <w:rPr>
                <w:sz w:val="20"/>
                <w:szCs w:val="20"/>
                <w:color w:val="auto"/>
              </w:rPr>
            </w:pPr>
            <w:r>
              <w:rPr>
                <w:rFonts w:ascii="Arial" w:cs="Arial" w:eastAsia="Arial" w:hAnsi="Arial"/>
                <w:sz w:val="18"/>
                <w:szCs w:val="18"/>
                <w:color w:val="auto"/>
              </w:rPr>
              <w:t>Satisfaction and Discharge of Indenture</w:t>
            </w:r>
          </w:p>
        </w:tc>
        <w:tc>
          <w:tcPr>
            <w:tcW w:w="402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1720" w:type="dxa"/>
            <w:vAlign w:val="bottom"/>
          </w:tcPr>
          <w:p>
            <w:pPr>
              <w:ind w:left="340"/>
              <w:spacing w:after="0"/>
              <w:rPr>
                <w:sz w:val="20"/>
                <w:szCs w:val="20"/>
                <w:color w:val="auto"/>
              </w:rPr>
            </w:pPr>
            <w:r>
              <w:rPr>
                <w:rFonts w:ascii="Arial" w:cs="Arial" w:eastAsia="Arial" w:hAnsi="Arial"/>
                <w:sz w:val="18"/>
                <w:szCs w:val="18"/>
                <w:color w:val="auto"/>
              </w:rPr>
              <w:t>SECTION 402.</w:t>
            </w:r>
          </w:p>
        </w:tc>
        <w:tc>
          <w:tcPr>
            <w:tcW w:w="4540" w:type="dxa"/>
            <w:vAlign w:val="bottom"/>
          </w:tcPr>
          <w:p>
            <w:pPr>
              <w:ind w:left="280"/>
              <w:spacing w:after="0"/>
              <w:rPr>
                <w:sz w:val="20"/>
                <w:szCs w:val="20"/>
                <w:color w:val="auto"/>
              </w:rPr>
            </w:pPr>
            <w:r>
              <w:rPr>
                <w:rFonts w:ascii="Arial" w:cs="Arial" w:eastAsia="Arial" w:hAnsi="Arial"/>
                <w:sz w:val="18"/>
                <w:szCs w:val="18"/>
                <w:color w:val="auto"/>
              </w:rPr>
              <w:t>Application of Trust Funds</w:t>
            </w:r>
          </w:p>
        </w:tc>
        <w:tc>
          <w:tcPr>
            <w:tcW w:w="40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ARTICLE FIVE - REMEDIES</w:t>
            </w:r>
          </w:p>
        </w:tc>
        <w:tc>
          <w:tcPr>
            <w:tcW w:w="402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418"/>
        </w:trPr>
        <w:tc>
          <w:tcPr>
            <w:tcW w:w="1720" w:type="dxa"/>
            <w:vAlign w:val="bottom"/>
          </w:tcPr>
          <w:p>
            <w:pPr>
              <w:ind w:left="340"/>
              <w:spacing w:after="0"/>
              <w:rPr>
                <w:sz w:val="20"/>
                <w:szCs w:val="20"/>
                <w:color w:val="auto"/>
              </w:rPr>
            </w:pPr>
            <w:r>
              <w:rPr>
                <w:rFonts w:ascii="Arial" w:cs="Arial" w:eastAsia="Arial" w:hAnsi="Arial"/>
                <w:sz w:val="18"/>
                <w:szCs w:val="18"/>
                <w:color w:val="auto"/>
              </w:rPr>
              <w:t>SECTION 501.</w:t>
            </w:r>
          </w:p>
        </w:tc>
        <w:tc>
          <w:tcPr>
            <w:tcW w:w="4540" w:type="dxa"/>
            <w:vAlign w:val="bottom"/>
          </w:tcPr>
          <w:p>
            <w:pPr>
              <w:ind w:left="280"/>
              <w:spacing w:after="0"/>
              <w:rPr>
                <w:sz w:val="20"/>
                <w:szCs w:val="20"/>
                <w:color w:val="auto"/>
              </w:rPr>
            </w:pPr>
            <w:r>
              <w:rPr>
                <w:rFonts w:ascii="Arial" w:cs="Arial" w:eastAsia="Arial" w:hAnsi="Arial"/>
                <w:sz w:val="18"/>
                <w:szCs w:val="18"/>
                <w:color w:val="auto"/>
              </w:rPr>
              <w:t>Events of Default</w:t>
            </w:r>
          </w:p>
        </w:tc>
        <w:tc>
          <w:tcPr>
            <w:tcW w:w="402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502.</w:t>
            </w:r>
          </w:p>
        </w:tc>
        <w:tc>
          <w:tcPr>
            <w:tcW w:w="4540" w:type="dxa"/>
            <w:vAlign w:val="bottom"/>
          </w:tcPr>
          <w:p>
            <w:pPr>
              <w:ind w:left="280"/>
              <w:spacing w:after="0"/>
              <w:rPr>
                <w:sz w:val="20"/>
                <w:szCs w:val="20"/>
                <w:color w:val="auto"/>
              </w:rPr>
            </w:pPr>
            <w:r>
              <w:rPr>
                <w:rFonts w:ascii="Arial" w:cs="Arial" w:eastAsia="Arial" w:hAnsi="Arial"/>
                <w:sz w:val="18"/>
                <w:szCs w:val="18"/>
                <w:color w:val="auto"/>
              </w:rPr>
              <w:t>Acceleration of Maturity; Rescission and Annulment</w:t>
            </w:r>
          </w:p>
        </w:tc>
        <w:tc>
          <w:tcPr>
            <w:tcW w:w="40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1720" w:type="dxa"/>
            <w:vAlign w:val="bottom"/>
          </w:tcPr>
          <w:p>
            <w:pPr>
              <w:ind w:left="340"/>
              <w:spacing w:after="0"/>
              <w:rPr>
                <w:sz w:val="20"/>
                <w:szCs w:val="20"/>
                <w:color w:val="auto"/>
              </w:rPr>
            </w:pPr>
            <w:r>
              <w:rPr>
                <w:rFonts w:ascii="Arial" w:cs="Arial" w:eastAsia="Arial" w:hAnsi="Arial"/>
                <w:sz w:val="18"/>
                <w:szCs w:val="18"/>
                <w:color w:val="auto"/>
              </w:rPr>
              <w:t>SECTION 503.</w:t>
            </w:r>
          </w:p>
        </w:tc>
        <w:tc>
          <w:tcPr>
            <w:tcW w:w="8560" w:type="dxa"/>
            <w:vAlign w:val="bottom"/>
            <w:gridSpan w:val="2"/>
          </w:tcPr>
          <w:p>
            <w:pPr>
              <w:ind w:left="280"/>
              <w:spacing w:after="0"/>
              <w:rPr>
                <w:sz w:val="20"/>
                <w:szCs w:val="20"/>
                <w:color w:val="auto"/>
              </w:rPr>
            </w:pPr>
            <w:r>
              <w:rPr>
                <w:rFonts w:ascii="Arial" w:cs="Arial" w:eastAsia="Arial" w:hAnsi="Arial"/>
                <w:sz w:val="18"/>
                <w:szCs w:val="18"/>
                <w:color w:val="auto"/>
              </w:rPr>
              <w:t>Collection of Indebtedness and Suits for Enforcement by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30"/>
        </w:trPr>
        <w:tc>
          <w:tcPr>
            <w:tcW w:w="1720" w:type="dxa"/>
            <w:vAlign w:val="bottom"/>
          </w:tcPr>
          <w:p>
            <w:pPr>
              <w:ind w:left="340"/>
              <w:spacing w:after="0"/>
              <w:rPr>
                <w:sz w:val="20"/>
                <w:szCs w:val="20"/>
                <w:color w:val="auto"/>
              </w:rPr>
            </w:pPr>
            <w:r>
              <w:rPr>
                <w:rFonts w:ascii="Arial" w:cs="Arial" w:eastAsia="Arial" w:hAnsi="Arial"/>
                <w:sz w:val="18"/>
                <w:szCs w:val="18"/>
                <w:color w:val="auto"/>
              </w:rPr>
              <w:t>SECTION 504.</w:t>
            </w:r>
          </w:p>
        </w:tc>
        <w:tc>
          <w:tcPr>
            <w:tcW w:w="4540" w:type="dxa"/>
            <w:vAlign w:val="bottom"/>
          </w:tcPr>
          <w:p>
            <w:pPr>
              <w:ind w:left="280"/>
              <w:spacing w:after="0"/>
              <w:rPr>
                <w:sz w:val="20"/>
                <w:szCs w:val="20"/>
                <w:color w:val="auto"/>
              </w:rPr>
            </w:pPr>
            <w:r>
              <w:rPr>
                <w:rFonts w:ascii="Arial" w:cs="Arial" w:eastAsia="Arial" w:hAnsi="Arial"/>
                <w:sz w:val="18"/>
                <w:szCs w:val="18"/>
                <w:color w:val="auto"/>
              </w:rPr>
              <w:t>Trustee May File Proofs of Claim</w:t>
            </w:r>
          </w:p>
        </w:tc>
        <w:tc>
          <w:tcPr>
            <w:tcW w:w="40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-8079740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-8079740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-4641215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-4641215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364" w:right="199" w:bottom="0" w:gutter="0" w:footer="0" w:header="0"/>
        </w:sectPr>
      </w:pPr>
    </w:p>
    <w:bookmarkStart w:id="49" w:name="page50"/>
    <w:bookmarkEnd w:id="49"/>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505.</w:t>
            </w:r>
          </w:p>
        </w:tc>
        <w:tc>
          <w:tcPr>
            <w:tcW w:w="8760" w:type="dxa"/>
            <w:vAlign w:val="bottom"/>
          </w:tcPr>
          <w:p>
            <w:pPr>
              <w:ind w:left="240"/>
              <w:spacing w:after="0"/>
              <w:rPr>
                <w:sz w:val="20"/>
                <w:szCs w:val="20"/>
                <w:color w:val="auto"/>
              </w:rPr>
            </w:pPr>
            <w:r>
              <w:rPr>
                <w:rFonts w:ascii="Arial" w:cs="Arial" w:eastAsia="Arial" w:hAnsi="Arial"/>
                <w:sz w:val="18"/>
                <w:szCs w:val="18"/>
                <w:color w:val="auto"/>
              </w:rPr>
              <w:t>Trustee May Enforce Claims Without Possession of Securities or Coupons</w:t>
            </w: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506.</w:t>
            </w:r>
          </w:p>
        </w:tc>
        <w:tc>
          <w:tcPr>
            <w:tcW w:w="8760" w:type="dxa"/>
            <w:vAlign w:val="bottom"/>
          </w:tcPr>
          <w:p>
            <w:pPr>
              <w:ind w:left="240"/>
              <w:spacing w:after="0"/>
              <w:rPr>
                <w:sz w:val="20"/>
                <w:szCs w:val="20"/>
                <w:color w:val="auto"/>
              </w:rPr>
            </w:pPr>
            <w:r>
              <w:rPr>
                <w:rFonts w:ascii="Arial" w:cs="Arial" w:eastAsia="Arial" w:hAnsi="Arial"/>
                <w:sz w:val="18"/>
                <w:szCs w:val="18"/>
                <w:color w:val="auto"/>
              </w:rPr>
              <w:t>Application of Money Collected</w:t>
            </w: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760" w:type="dxa"/>
            <w:vAlign w:val="bottom"/>
          </w:tcPr>
          <w:p>
            <w:pPr>
              <w:spacing w:after="0"/>
              <w:rPr>
                <w:sz w:val="24"/>
                <w:szCs w:val="24"/>
                <w:color w:val="auto"/>
              </w:rPr>
            </w:pPr>
          </w:p>
        </w:tc>
        <w:tc>
          <w:tcPr>
            <w:tcW w:w="8760" w:type="dxa"/>
            <w:vAlign w:val="bottom"/>
          </w:tcPr>
          <w:p>
            <w:pPr>
              <w:ind w:left="390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r>
      <w:tr>
        <w:trPr>
          <w:trHeight w:val="132"/>
        </w:trPr>
        <w:tc>
          <w:tcPr>
            <w:tcW w:w="1760" w:type="dxa"/>
            <w:vAlign w:val="bottom"/>
            <w:tcBorders>
              <w:bottom w:val="single" w:sz="8" w:color="808080"/>
            </w:tcBorders>
          </w:tcPr>
          <w:p>
            <w:pPr>
              <w:spacing w:after="0"/>
              <w:rPr>
                <w:sz w:val="11"/>
                <w:szCs w:val="11"/>
                <w:color w:val="auto"/>
              </w:rPr>
            </w:pPr>
          </w:p>
        </w:tc>
        <w:tc>
          <w:tcPr>
            <w:tcW w:w="87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r>
      <w:tr>
        <w:trPr>
          <w:trHeight w:val="766"/>
        </w:trPr>
        <w:tc>
          <w:tcPr>
            <w:tcW w:w="1760" w:type="dxa"/>
            <w:vAlign w:val="bottom"/>
          </w:tcPr>
          <w:p>
            <w:pPr>
              <w:ind w:left="340"/>
              <w:spacing w:after="0"/>
              <w:rPr>
                <w:sz w:val="20"/>
                <w:szCs w:val="20"/>
                <w:color w:val="auto"/>
              </w:rPr>
            </w:pPr>
            <w:r>
              <w:rPr>
                <w:rFonts w:ascii="Arial" w:cs="Arial" w:eastAsia="Arial" w:hAnsi="Arial"/>
                <w:sz w:val="18"/>
                <w:szCs w:val="18"/>
                <w:color w:val="auto"/>
              </w:rPr>
              <w:t>SECTION 507.</w:t>
            </w:r>
          </w:p>
        </w:tc>
        <w:tc>
          <w:tcPr>
            <w:tcW w:w="8760" w:type="dxa"/>
            <w:vAlign w:val="bottom"/>
          </w:tcPr>
          <w:p>
            <w:pPr>
              <w:ind w:left="240"/>
              <w:spacing w:after="0"/>
              <w:rPr>
                <w:sz w:val="20"/>
                <w:szCs w:val="20"/>
                <w:color w:val="auto"/>
              </w:rPr>
            </w:pPr>
            <w:r>
              <w:rPr>
                <w:rFonts w:ascii="Arial" w:cs="Arial" w:eastAsia="Arial" w:hAnsi="Arial"/>
                <w:sz w:val="18"/>
                <w:szCs w:val="18"/>
                <w:color w:val="auto"/>
              </w:rPr>
              <w:t>Limitation on Suits</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508.</w:t>
            </w:r>
          </w:p>
        </w:tc>
        <w:tc>
          <w:tcPr>
            <w:tcW w:w="8760" w:type="dxa"/>
            <w:vAlign w:val="bottom"/>
          </w:tcPr>
          <w:p>
            <w:pPr>
              <w:ind w:left="240"/>
              <w:spacing w:after="0"/>
              <w:rPr>
                <w:sz w:val="20"/>
                <w:szCs w:val="20"/>
                <w:color w:val="auto"/>
              </w:rPr>
            </w:pPr>
            <w:r>
              <w:rPr>
                <w:rFonts w:ascii="Arial" w:cs="Arial" w:eastAsia="Arial" w:hAnsi="Arial"/>
                <w:sz w:val="18"/>
                <w:szCs w:val="18"/>
                <w:color w:val="auto"/>
              </w:rPr>
              <w:t>Unconditional Right of Holders to Receive Principal, Premium or Make-Whole Amount, if any, and Interest</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509.</w:t>
            </w:r>
          </w:p>
        </w:tc>
        <w:tc>
          <w:tcPr>
            <w:tcW w:w="8760" w:type="dxa"/>
            <w:vAlign w:val="bottom"/>
          </w:tcPr>
          <w:p>
            <w:pPr>
              <w:ind w:left="240"/>
              <w:spacing w:after="0"/>
              <w:rPr>
                <w:sz w:val="20"/>
                <w:szCs w:val="20"/>
                <w:color w:val="auto"/>
              </w:rPr>
            </w:pPr>
            <w:r>
              <w:rPr>
                <w:rFonts w:ascii="Arial" w:cs="Arial" w:eastAsia="Arial" w:hAnsi="Arial"/>
                <w:sz w:val="18"/>
                <w:szCs w:val="18"/>
                <w:color w:val="auto"/>
              </w:rPr>
              <w:t>Restoration of Rights and Remedies</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510.</w:t>
            </w:r>
          </w:p>
        </w:tc>
        <w:tc>
          <w:tcPr>
            <w:tcW w:w="8760" w:type="dxa"/>
            <w:vAlign w:val="bottom"/>
          </w:tcPr>
          <w:p>
            <w:pPr>
              <w:ind w:left="240"/>
              <w:spacing w:after="0"/>
              <w:rPr>
                <w:sz w:val="20"/>
                <w:szCs w:val="20"/>
                <w:color w:val="auto"/>
              </w:rPr>
            </w:pPr>
            <w:r>
              <w:rPr>
                <w:rFonts w:ascii="Arial" w:cs="Arial" w:eastAsia="Arial" w:hAnsi="Arial"/>
                <w:sz w:val="18"/>
                <w:szCs w:val="18"/>
                <w:color w:val="auto"/>
              </w:rPr>
              <w:t>Rights and Remedies Cumulative</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511.</w:t>
            </w:r>
          </w:p>
        </w:tc>
        <w:tc>
          <w:tcPr>
            <w:tcW w:w="8760" w:type="dxa"/>
            <w:vAlign w:val="bottom"/>
          </w:tcPr>
          <w:p>
            <w:pPr>
              <w:ind w:left="240"/>
              <w:spacing w:after="0"/>
              <w:rPr>
                <w:sz w:val="20"/>
                <w:szCs w:val="20"/>
                <w:color w:val="auto"/>
              </w:rPr>
            </w:pPr>
            <w:r>
              <w:rPr>
                <w:rFonts w:ascii="Arial" w:cs="Arial" w:eastAsia="Arial" w:hAnsi="Arial"/>
                <w:sz w:val="18"/>
                <w:szCs w:val="18"/>
                <w:color w:val="auto"/>
              </w:rPr>
              <w:t>Delay or Omission Not Waiver</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512.</w:t>
            </w:r>
          </w:p>
        </w:tc>
        <w:tc>
          <w:tcPr>
            <w:tcW w:w="8760" w:type="dxa"/>
            <w:vAlign w:val="bottom"/>
          </w:tcPr>
          <w:p>
            <w:pPr>
              <w:ind w:left="240"/>
              <w:spacing w:after="0"/>
              <w:rPr>
                <w:sz w:val="20"/>
                <w:szCs w:val="20"/>
                <w:color w:val="auto"/>
              </w:rPr>
            </w:pPr>
            <w:r>
              <w:rPr>
                <w:rFonts w:ascii="Arial" w:cs="Arial" w:eastAsia="Arial" w:hAnsi="Arial"/>
                <w:sz w:val="18"/>
                <w:szCs w:val="18"/>
                <w:color w:val="auto"/>
              </w:rPr>
              <w:t>Control by Holders of Securities</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513.</w:t>
            </w:r>
          </w:p>
        </w:tc>
        <w:tc>
          <w:tcPr>
            <w:tcW w:w="8760" w:type="dxa"/>
            <w:vAlign w:val="bottom"/>
          </w:tcPr>
          <w:p>
            <w:pPr>
              <w:ind w:left="240"/>
              <w:spacing w:after="0"/>
              <w:rPr>
                <w:sz w:val="20"/>
                <w:szCs w:val="20"/>
                <w:color w:val="auto"/>
              </w:rPr>
            </w:pPr>
            <w:r>
              <w:rPr>
                <w:rFonts w:ascii="Arial" w:cs="Arial" w:eastAsia="Arial" w:hAnsi="Arial"/>
                <w:sz w:val="18"/>
                <w:szCs w:val="18"/>
                <w:color w:val="auto"/>
              </w:rPr>
              <w:t>Waiver of Past Defaults</w:t>
            </w: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514.</w:t>
            </w:r>
          </w:p>
        </w:tc>
        <w:tc>
          <w:tcPr>
            <w:tcW w:w="8760" w:type="dxa"/>
            <w:vAlign w:val="bottom"/>
          </w:tcPr>
          <w:p>
            <w:pPr>
              <w:ind w:left="240"/>
              <w:spacing w:after="0"/>
              <w:rPr>
                <w:sz w:val="20"/>
                <w:szCs w:val="20"/>
                <w:color w:val="auto"/>
              </w:rPr>
            </w:pPr>
            <w:r>
              <w:rPr>
                <w:rFonts w:ascii="Arial" w:cs="Arial" w:eastAsia="Arial" w:hAnsi="Arial"/>
                <w:sz w:val="18"/>
                <w:szCs w:val="18"/>
                <w:color w:val="auto"/>
              </w:rPr>
              <w:t>Waiver of Usury, Stay or Extension Laws</w:t>
            </w: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515.</w:t>
            </w:r>
          </w:p>
        </w:tc>
        <w:tc>
          <w:tcPr>
            <w:tcW w:w="8760" w:type="dxa"/>
            <w:vAlign w:val="bottom"/>
          </w:tcPr>
          <w:p>
            <w:pPr>
              <w:ind w:left="240"/>
              <w:spacing w:after="0"/>
              <w:rPr>
                <w:sz w:val="20"/>
                <w:szCs w:val="20"/>
                <w:color w:val="auto"/>
              </w:rPr>
            </w:pPr>
            <w:r>
              <w:rPr>
                <w:rFonts w:ascii="Arial" w:cs="Arial" w:eastAsia="Arial" w:hAnsi="Arial"/>
                <w:sz w:val="18"/>
                <w:szCs w:val="18"/>
                <w:color w:val="auto"/>
              </w:rPr>
              <w:t>Undertaking for Costs</w:t>
            </w: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color w:val="auto"/>
              </w:rPr>
              <w:t>ARTICLE SIX - THE TRUSTEE</w:t>
            </w: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1760" w:type="dxa"/>
            <w:vAlign w:val="bottom"/>
          </w:tcPr>
          <w:p>
            <w:pPr>
              <w:ind w:left="340"/>
              <w:spacing w:after="0"/>
              <w:rPr>
                <w:sz w:val="20"/>
                <w:szCs w:val="20"/>
                <w:color w:val="auto"/>
              </w:rPr>
            </w:pPr>
            <w:r>
              <w:rPr>
                <w:rFonts w:ascii="Arial" w:cs="Arial" w:eastAsia="Arial" w:hAnsi="Arial"/>
                <w:sz w:val="18"/>
                <w:szCs w:val="18"/>
                <w:color w:val="auto"/>
              </w:rPr>
              <w:t>SECTION 601.</w:t>
            </w:r>
          </w:p>
        </w:tc>
        <w:tc>
          <w:tcPr>
            <w:tcW w:w="8760" w:type="dxa"/>
            <w:vAlign w:val="bottom"/>
          </w:tcPr>
          <w:p>
            <w:pPr>
              <w:ind w:left="240"/>
              <w:spacing w:after="0"/>
              <w:rPr>
                <w:sz w:val="20"/>
                <w:szCs w:val="20"/>
                <w:color w:val="auto"/>
              </w:rPr>
            </w:pPr>
            <w:r>
              <w:rPr>
                <w:rFonts w:ascii="Arial" w:cs="Arial" w:eastAsia="Arial" w:hAnsi="Arial"/>
                <w:sz w:val="18"/>
                <w:szCs w:val="18"/>
                <w:color w:val="auto"/>
              </w:rPr>
              <w:t>Notice of Defaults</w:t>
            </w: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602.</w:t>
            </w:r>
          </w:p>
        </w:tc>
        <w:tc>
          <w:tcPr>
            <w:tcW w:w="8760" w:type="dxa"/>
            <w:vAlign w:val="bottom"/>
          </w:tcPr>
          <w:p>
            <w:pPr>
              <w:ind w:left="240"/>
              <w:spacing w:after="0"/>
              <w:rPr>
                <w:sz w:val="20"/>
                <w:szCs w:val="20"/>
                <w:color w:val="auto"/>
              </w:rPr>
            </w:pPr>
            <w:r>
              <w:rPr>
                <w:rFonts w:ascii="Arial" w:cs="Arial" w:eastAsia="Arial" w:hAnsi="Arial"/>
                <w:sz w:val="18"/>
                <w:szCs w:val="18"/>
                <w:color w:val="auto"/>
              </w:rPr>
              <w:t>Certain Rights of Trustee</w:t>
            </w: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603.</w:t>
            </w:r>
          </w:p>
        </w:tc>
        <w:tc>
          <w:tcPr>
            <w:tcW w:w="8760" w:type="dxa"/>
            <w:vAlign w:val="bottom"/>
          </w:tcPr>
          <w:p>
            <w:pPr>
              <w:ind w:left="240"/>
              <w:spacing w:after="0"/>
              <w:rPr>
                <w:sz w:val="20"/>
                <w:szCs w:val="20"/>
                <w:color w:val="auto"/>
              </w:rPr>
            </w:pPr>
            <w:r>
              <w:rPr>
                <w:rFonts w:ascii="Arial" w:cs="Arial" w:eastAsia="Arial" w:hAnsi="Arial"/>
                <w:sz w:val="18"/>
                <w:szCs w:val="18"/>
                <w:color w:val="auto"/>
              </w:rPr>
              <w:t>Not Responsible for Recitals or Issuance of Securities</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604.</w:t>
            </w:r>
          </w:p>
        </w:tc>
        <w:tc>
          <w:tcPr>
            <w:tcW w:w="8760" w:type="dxa"/>
            <w:vAlign w:val="bottom"/>
          </w:tcPr>
          <w:p>
            <w:pPr>
              <w:ind w:left="240"/>
              <w:spacing w:after="0"/>
              <w:rPr>
                <w:sz w:val="20"/>
                <w:szCs w:val="20"/>
                <w:color w:val="auto"/>
              </w:rPr>
            </w:pPr>
            <w:r>
              <w:rPr>
                <w:rFonts w:ascii="Arial" w:cs="Arial" w:eastAsia="Arial" w:hAnsi="Arial"/>
                <w:sz w:val="18"/>
                <w:szCs w:val="18"/>
                <w:color w:val="auto"/>
              </w:rPr>
              <w:t>May Hold Securities</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605.</w:t>
            </w:r>
          </w:p>
        </w:tc>
        <w:tc>
          <w:tcPr>
            <w:tcW w:w="8760" w:type="dxa"/>
            <w:vAlign w:val="bottom"/>
          </w:tcPr>
          <w:p>
            <w:pPr>
              <w:ind w:left="240"/>
              <w:spacing w:after="0"/>
              <w:rPr>
                <w:sz w:val="20"/>
                <w:szCs w:val="20"/>
                <w:color w:val="auto"/>
              </w:rPr>
            </w:pPr>
            <w:r>
              <w:rPr>
                <w:rFonts w:ascii="Arial" w:cs="Arial" w:eastAsia="Arial" w:hAnsi="Arial"/>
                <w:sz w:val="18"/>
                <w:szCs w:val="18"/>
                <w:color w:val="auto"/>
              </w:rPr>
              <w:t>Money Held in Trust</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606.</w:t>
            </w:r>
          </w:p>
        </w:tc>
        <w:tc>
          <w:tcPr>
            <w:tcW w:w="8760" w:type="dxa"/>
            <w:vAlign w:val="bottom"/>
          </w:tcPr>
          <w:p>
            <w:pPr>
              <w:ind w:left="240"/>
              <w:spacing w:after="0"/>
              <w:rPr>
                <w:sz w:val="20"/>
                <w:szCs w:val="20"/>
                <w:color w:val="auto"/>
              </w:rPr>
            </w:pPr>
            <w:r>
              <w:rPr>
                <w:rFonts w:ascii="Arial" w:cs="Arial" w:eastAsia="Arial" w:hAnsi="Arial"/>
                <w:sz w:val="18"/>
                <w:szCs w:val="18"/>
                <w:color w:val="auto"/>
              </w:rPr>
              <w:t>Compensation and Reimbursement</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607.</w:t>
            </w:r>
          </w:p>
        </w:tc>
        <w:tc>
          <w:tcPr>
            <w:tcW w:w="8760" w:type="dxa"/>
            <w:vAlign w:val="bottom"/>
          </w:tcPr>
          <w:p>
            <w:pPr>
              <w:ind w:left="240"/>
              <w:spacing w:after="0"/>
              <w:rPr>
                <w:sz w:val="20"/>
                <w:szCs w:val="20"/>
                <w:color w:val="auto"/>
              </w:rPr>
            </w:pPr>
            <w:r>
              <w:rPr>
                <w:rFonts w:ascii="Arial" w:cs="Arial" w:eastAsia="Arial" w:hAnsi="Arial"/>
                <w:sz w:val="18"/>
                <w:szCs w:val="18"/>
                <w:color w:val="auto"/>
              </w:rPr>
              <w:t>Corporate Trustee Required; Eligibility; Conflicting Interests</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608.</w:t>
            </w:r>
          </w:p>
        </w:tc>
        <w:tc>
          <w:tcPr>
            <w:tcW w:w="8760" w:type="dxa"/>
            <w:vAlign w:val="bottom"/>
          </w:tcPr>
          <w:p>
            <w:pPr>
              <w:ind w:left="240"/>
              <w:spacing w:after="0"/>
              <w:rPr>
                <w:sz w:val="20"/>
                <w:szCs w:val="20"/>
                <w:color w:val="auto"/>
              </w:rPr>
            </w:pPr>
            <w:r>
              <w:rPr>
                <w:rFonts w:ascii="Arial" w:cs="Arial" w:eastAsia="Arial" w:hAnsi="Arial"/>
                <w:sz w:val="18"/>
                <w:szCs w:val="18"/>
                <w:color w:val="auto"/>
              </w:rPr>
              <w:t>Resignation and Removal; Appointment of Successor</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609.</w:t>
            </w:r>
          </w:p>
        </w:tc>
        <w:tc>
          <w:tcPr>
            <w:tcW w:w="8760" w:type="dxa"/>
            <w:vAlign w:val="bottom"/>
          </w:tcPr>
          <w:p>
            <w:pPr>
              <w:ind w:left="240"/>
              <w:spacing w:after="0"/>
              <w:rPr>
                <w:sz w:val="20"/>
                <w:szCs w:val="20"/>
                <w:color w:val="auto"/>
              </w:rPr>
            </w:pPr>
            <w:r>
              <w:rPr>
                <w:rFonts w:ascii="Arial" w:cs="Arial" w:eastAsia="Arial" w:hAnsi="Arial"/>
                <w:sz w:val="18"/>
                <w:szCs w:val="18"/>
                <w:color w:val="auto"/>
              </w:rPr>
              <w:t>Acceptance of Appointment by Successor</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610.</w:t>
            </w:r>
          </w:p>
        </w:tc>
        <w:tc>
          <w:tcPr>
            <w:tcW w:w="8760" w:type="dxa"/>
            <w:vAlign w:val="bottom"/>
          </w:tcPr>
          <w:p>
            <w:pPr>
              <w:ind w:left="240"/>
              <w:spacing w:after="0"/>
              <w:rPr>
                <w:sz w:val="20"/>
                <w:szCs w:val="20"/>
                <w:color w:val="auto"/>
              </w:rPr>
            </w:pPr>
            <w:r>
              <w:rPr>
                <w:rFonts w:ascii="Arial" w:cs="Arial" w:eastAsia="Arial" w:hAnsi="Arial"/>
                <w:sz w:val="18"/>
                <w:szCs w:val="18"/>
                <w:color w:val="auto"/>
              </w:rPr>
              <w:t>Merger, Conversion, Consolidation or Succession to Business</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611.</w:t>
            </w:r>
          </w:p>
        </w:tc>
        <w:tc>
          <w:tcPr>
            <w:tcW w:w="8760" w:type="dxa"/>
            <w:vAlign w:val="bottom"/>
          </w:tcPr>
          <w:p>
            <w:pPr>
              <w:ind w:left="240"/>
              <w:spacing w:after="0"/>
              <w:rPr>
                <w:sz w:val="20"/>
                <w:szCs w:val="20"/>
                <w:color w:val="auto"/>
              </w:rPr>
            </w:pPr>
            <w:r>
              <w:rPr>
                <w:rFonts w:ascii="Arial" w:cs="Arial" w:eastAsia="Arial" w:hAnsi="Arial"/>
                <w:sz w:val="18"/>
                <w:szCs w:val="18"/>
                <w:color w:val="auto"/>
              </w:rPr>
              <w:t>Appointment of Authenticating Agent</w:t>
            </w: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612.</w:t>
            </w:r>
          </w:p>
        </w:tc>
        <w:tc>
          <w:tcPr>
            <w:tcW w:w="8760" w:type="dxa"/>
            <w:vAlign w:val="bottom"/>
          </w:tcPr>
          <w:p>
            <w:pPr>
              <w:ind w:left="240"/>
              <w:spacing w:after="0"/>
              <w:rPr>
                <w:sz w:val="20"/>
                <w:szCs w:val="20"/>
                <w:color w:val="auto"/>
              </w:rPr>
            </w:pPr>
            <w:r>
              <w:rPr>
                <w:rFonts w:ascii="Arial" w:cs="Arial" w:eastAsia="Arial" w:hAnsi="Arial"/>
                <w:sz w:val="18"/>
                <w:szCs w:val="18"/>
                <w:color w:val="auto"/>
              </w:rPr>
              <w:t>Certain Duties and Responsibilities of the Trustee</w:t>
            </w: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color w:val="auto"/>
              </w:rPr>
              <w:t>ARTICLE SEVEN - HOLDERS’ LISTS AND REPORTS BY TRUSTEE AND COMPANY</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760" w:type="dxa"/>
            <w:vAlign w:val="bottom"/>
          </w:tcPr>
          <w:p>
            <w:pPr>
              <w:ind w:left="340"/>
              <w:spacing w:after="0"/>
              <w:rPr>
                <w:sz w:val="20"/>
                <w:szCs w:val="20"/>
                <w:color w:val="auto"/>
              </w:rPr>
            </w:pPr>
            <w:r>
              <w:rPr>
                <w:rFonts w:ascii="Arial" w:cs="Arial" w:eastAsia="Arial" w:hAnsi="Arial"/>
                <w:sz w:val="18"/>
                <w:szCs w:val="18"/>
                <w:color w:val="auto"/>
              </w:rPr>
              <w:t>SECTION 701.</w:t>
            </w:r>
          </w:p>
        </w:tc>
        <w:tc>
          <w:tcPr>
            <w:tcW w:w="8760" w:type="dxa"/>
            <w:vAlign w:val="bottom"/>
          </w:tcPr>
          <w:p>
            <w:pPr>
              <w:ind w:left="240"/>
              <w:spacing w:after="0"/>
              <w:rPr>
                <w:sz w:val="20"/>
                <w:szCs w:val="20"/>
                <w:color w:val="auto"/>
              </w:rPr>
            </w:pPr>
            <w:r>
              <w:rPr>
                <w:rFonts w:ascii="Arial" w:cs="Arial" w:eastAsia="Arial" w:hAnsi="Arial"/>
                <w:sz w:val="18"/>
                <w:szCs w:val="18"/>
                <w:color w:val="auto"/>
              </w:rPr>
              <w:t>Disclosure of Names and Addresses of Holders</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702.</w:t>
            </w:r>
          </w:p>
        </w:tc>
        <w:tc>
          <w:tcPr>
            <w:tcW w:w="8760" w:type="dxa"/>
            <w:vAlign w:val="bottom"/>
          </w:tcPr>
          <w:p>
            <w:pPr>
              <w:ind w:left="240"/>
              <w:spacing w:after="0"/>
              <w:rPr>
                <w:sz w:val="20"/>
                <w:szCs w:val="20"/>
                <w:color w:val="auto"/>
              </w:rPr>
            </w:pPr>
            <w:r>
              <w:rPr>
                <w:rFonts w:ascii="Arial" w:cs="Arial" w:eastAsia="Arial" w:hAnsi="Arial"/>
                <w:sz w:val="18"/>
                <w:szCs w:val="18"/>
                <w:color w:val="auto"/>
              </w:rPr>
              <w:t>Reports by Trustee</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703.</w:t>
            </w:r>
          </w:p>
        </w:tc>
        <w:tc>
          <w:tcPr>
            <w:tcW w:w="8760" w:type="dxa"/>
            <w:vAlign w:val="bottom"/>
          </w:tcPr>
          <w:p>
            <w:pPr>
              <w:ind w:left="240"/>
              <w:spacing w:after="0"/>
              <w:rPr>
                <w:sz w:val="20"/>
                <w:szCs w:val="20"/>
                <w:color w:val="auto"/>
              </w:rPr>
            </w:pPr>
            <w:r>
              <w:rPr>
                <w:rFonts w:ascii="Arial" w:cs="Arial" w:eastAsia="Arial" w:hAnsi="Arial"/>
                <w:sz w:val="18"/>
                <w:szCs w:val="18"/>
                <w:color w:val="auto"/>
              </w:rPr>
              <w:t>Reports by Company</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704.</w:t>
            </w:r>
          </w:p>
        </w:tc>
        <w:tc>
          <w:tcPr>
            <w:tcW w:w="8760" w:type="dxa"/>
            <w:vAlign w:val="bottom"/>
          </w:tcPr>
          <w:p>
            <w:pPr>
              <w:ind w:left="240"/>
              <w:spacing w:after="0"/>
              <w:rPr>
                <w:sz w:val="20"/>
                <w:szCs w:val="20"/>
                <w:color w:val="auto"/>
              </w:rPr>
            </w:pPr>
            <w:r>
              <w:rPr>
                <w:rFonts w:ascii="Arial" w:cs="Arial" w:eastAsia="Arial" w:hAnsi="Arial"/>
                <w:sz w:val="18"/>
                <w:szCs w:val="18"/>
                <w:color w:val="auto"/>
              </w:rPr>
              <w:t>Company to Furnish Trustee Names and Addresses of Holders</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760" w:type="dxa"/>
            <w:vAlign w:val="bottom"/>
          </w:tcPr>
          <w:p>
            <w:pPr>
              <w:spacing w:after="0"/>
              <w:rPr>
                <w:sz w:val="24"/>
                <w:szCs w:val="24"/>
                <w:color w:val="auto"/>
              </w:rPr>
            </w:pPr>
          </w:p>
        </w:tc>
        <w:tc>
          <w:tcPr>
            <w:tcW w:w="8760" w:type="dxa"/>
            <w:vAlign w:val="bottom"/>
          </w:tcPr>
          <w:p>
            <w:pPr>
              <w:ind w:left="3900"/>
              <w:spacing w:after="0"/>
              <w:rPr>
                <w:sz w:val="20"/>
                <w:szCs w:val="20"/>
                <w:color w:val="auto"/>
              </w:rPr>
            </w:pPr>
            <w:r>
              <w:rPr>
                <w:rFonts w:ascii="Arial" w:cs="Arial" w:eastAsia="Arial" w:hAnsi="Arial"/>
                <w:sz w:val="18"/>
                <w:szCs w:val="18"/>
                <w:color w:val="auto"/>
              </w:rPr>
              <w:t>3</w:t>
            </w:r>
          </w:p>
        </w:tc>
        <w:tc>
          <w:tcPr>
            <w:tcW w:w="940" w:type="dxa"/>
            <w:vAlign w:val="bottom"/>
          </w:tcPr>
          <w:p>
            <w:pPr>
              <w:spacing w:after="0"/>
              <w:rPr>
                <w:sz w:val="24"/>
                <w:szCs w:val="24"/>
                <w:color w:val="auto"/>
              </w:rPr>
            </w:pPr>
          </w:p>
        </w:tc>
      </w:tr>
      <w:tr>
        <w:trPr>
          <w:trHeight w:val="132"/>
        </w:trPr>
        <w:tc>
          <w:tcPr>
            <w:tcW w:w="10520" w:type="dxa"/>
            <w:vAlign w:val="bottom"/>
            <w:tcBorders>
              <w:bottom w:val="single" w:sz="8" w:color="808080"/>
            </w:tcBorders>
            <w:gridSpan w:val="2"/>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r>
      <w:tr>
        <w:trPr>
          <w:trHeight w:val="780"/>
        </w:trPr>
        <w:tc>
          <w:tcPr>
            <w:tcW w:w="10520" w:type="dxa"/>
            <w:vAlign w:val="bottom"/>
            <w:gridSpan w:val="2"/>
          </w:tcPr>
          <w:p>
            <w:pPr>
              <w:spacing w:after="0"/>
              <w:rPr>
                <w:sz w:val="20"/>
                <w:szCs w:val="20"/>
                <w:color w:val="auto"/>
              </w:rPr>
            </w:pPr>
            <w:r>
              <w:rPr>
                <w:rFonts w:ascii="Arial" w:cs="Arial" w:eastAsia="Arial" w:hAnsi="Arial"/>
                <w:sz w:val="18"/>
                <w:szCs w:val="18"/>
                <w:color w:val="auto"/>
              </w:rPr>
              <w:t>ARTICLE EIGHT - CONSOLIDATION, MERGER, SALE, LEASE OR CONVEYANCE</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1760" w:type="dxa"/>
            <w:vAlign w:val="bottom"/>
          </w:tcPr>
          <w:p>
            <w:pPr>
              <w:ind w:left="340"/>
              <w:spacing w:after="0"/>
              <w:rPr>
                <w:sz w:val="20"/>
                <w:szCs w:val="20"/>
                <w:color w:val="auto"/>
              </w:rPr>
            </w:pPr>
            <w:r>
              <w:rPr>
                <w:rFonts w:ascii="Arial" w:cs="Arial" w:eastAsia="Arial" w:hAnsi="Arial"/>
                <w:sz w:val="18"/>
                <w:szCs w:val="18"/>
                <w:color w:val="auto"/>
              </w:rPr>
              <w:t>SECTION 801.</w:t>
            </w:r>
          </w:p>
        </w:tc>
        <w:tc>
          <w:tcPr>
            <w:tcW w:w="8760" w:type="dxa"/>
            <w:vAlign w:val="bottom"/>
          </w:tcPr>
          <w:p>
            <w:pPr>
              <w:ind w:left="240"/>
              <w:spacing w:after="0"/>
              <w:rPr>
                <w:sz w:val="20"/>
                <w:szCs w:val="20"/>
                <w:color w:val="auto"/>
              </w:rPr>
            </w:pPr>
            <w:r>
              <w:rPr>
                <w:rFonts w:ascii="Arial" w:cs="Arial" w:eastAsia="Arial" w:hAnsi="Arial"/>
                <w:sz w:val="18"/>
                <w:szCs w:val="18"/>
                <w:color w:val="auto"/>
                <w:w w:val="99"/>
              </w:rPr>
              <w:t>Consolidations and Mergers of Company and Sales, Leases and Conveyances Permitted Subject to Certain</w:t>
            </w:r>
          </w:p>
        </w:tc>
        <w:tc>
          <w:tcPr>
            <w:tcW w:w="940" w:type="dxa"/>
            <w:vAlign w:val="bottom"/>
          </w:tcPr>
          <w:p>
            <w:pPr>
              <w:spacing w:after="0"/>
              <w:rPr>
                <w:sz w:val="24"/>
                <w:szCs w:val="24"/>
                <w:color w:val="auto"/>
              </w:rPr>
            </w:pPr>
          </w:p>
        </w:tc>
      </w:tr>
      <w:tr>
        <w:trPr>
          <w:trHeight w:val="216"/>
        </w:trPr>
        <w:tc>
          <w:tcPr>
            <w:tcW w:w="176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Conditions</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802.</w:t>
            </w:r>
          </w:p>
        </w:tc>
        <w:tc>
          <w:tcPr>
            <w:tcW w:w="8760" w:type="dxa"/>
            <w:vAlign w:val="bottom"/>
          </w:tcPr>
          <w:p>
            <w:pPr>
              <w:ind w:left="240"/>
              <w:spacing w:after="0"/>
              <w:rPr>
                <w:sz w:val="20"/>
                <w:szCs w:val="20"/>
                <w:color w:val="auto"/>
              </w:rPr>
            </w:pPr>
            <w:r>
              <w:rPr>
                <w:rFonts w:ascii="Arial" w:cs="Arial" w:eastAsia="Arial" w:hAnsi="Arial"/>
                <w:sz w:val="18"/>
                <w:szCs w:val="18"/>
                <w:color w:val="auto"/>
              </w:rPr>
              <w:t>Rights and Duties of Successor Corporation</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803.</w:t>
            </w:r>
          </w:p>
        </w:tc>
        <w:tc>
          <w:tcPr>
            <w:tcW w:w="8760" w:type="dxa"/>
            <w:vAlign w:val="bottom"/>
          </w:tcPr>
          <w:p>
            <w:pPr>
              <w:ind w:left="240"/>
              <w:spacing w:after="0"/>
              <w:rPr>
                <w:sz w:val="20"/>
                <w:szCs w:val="20"/>
                <w:color w:val="auto"/>
              </w:rPr>
            </w:pPr>
            <w:r>
              <w:rPr>
                <w:rFonts w:ascii="Arial" w:cs="Arial" w:eastAsia="Arial" w:hAnsi="Arial"/>
                <w:sz w:val="18"/>
                <w:szCs w:val="18"/>
                <w:color w:val="auto"/>
              </w:rPr>
              <w:t>Officers’ Certificate and Opinion of Counsel</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color w:val="auto"/>
              </w:rPr>
              <w:t>ARTICLE NINE - SUPPLEMENTAL INDENTURES</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1760" w:type="dxa"/>
            <w:vAlign w:val="bottom"/>
          </w:tcPr>
          <w:p>
            <w:pPr>
              <w:ind w:left="340"/>
              <w:spacing w:after="0"/>
              <w:rPr>
                <w:sz w:val="20"/>
                <w:szCs w:val="20"/>
                <w:color w:val="auto"/>
              </w:rPr>
            </w:pPr>
            <w:r>
              <w:rPr>
                <w:rFonts w:ascii="Arial" w:cs="Arial" w:eastAsia="Arial" w:hAnsi="Arial"/>
                <w:sz w:val="18"/>
                <w:szCs w:val="18"/>
                <w:color w:val="auto"/>
              </w:rPr>
              <w:t>SECTION 901.</w:t>
            </w:r>
          </w:p>
        </w:tc>
        <w:tc>
          <w:tcPr>
            <w:tcW w:w="8760" w:type="dxa"/>
            <w:vAlign w:val="bottom"/>
          </w:tcPr>
          <w:p>
            <w:pPr>
              <w:ind w:left="240"/>
              <w:spacing w:after="0"/>
              <w:rPr>
                <w:sz w:val="20"/>
                <w:szCs w:val="20"/>
                <w:color w:val="auto"/>
              </w:rPr>
            </w:pPr>
            <w:r>
              <w:rPr>
                <w:rFonts w:ascii="Arial" w:cs="Arial" w:eastAsia="Arial" w:hAnsi="Arial"/>
                <w:sz w:val="18"/>
                <w:szCs w:val="18"/>
                <w:color w:val="auto"/>
              </w:rPr>
              <w:t>Supplemental Indentures Without Consent of Holders</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902.</w:t>
            </w:r>
          </w:p>
        </w:tc>
        <w:tc>
          <w:tcPr>
            <w:tcW w:w="8760" w:type="dxa"/>
            <w:vAlign w:val="bottom"/>
          </w:tcPr>
          <w:p>
            <w:pPr>
              <w:ind w:left="240"/>
              <w:spacing w:after="0"/>
              <w:rPr>
                <w:sz w:val="20"/>
                <w:szCs w:val="20"/>
                <w:color w:val="auto"/>
              </w:rPr>
            </w:pPr>
            <w:r>
              <w:rPr>
                <w:rFonts w:ascii="Arial" w:cs="Arial" w:eastAsia="Arial" w:hAnsi="Arial"/>
                <w:sz w:val="18"/>
                <w:szCs w:val="18"/>
                <w:color w:val="auto"/>
              </w:rPr>
              <w:t>Supplemental Indentures with Consent of Holders</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903.</w:t>
            </w:r>
          </w:p>
        </w:tc>
        <w:tc>
          <w:tcPr>
            <w:tcW w:w="8760" w:type="dxa"/>
            <w:vAlign w:val="bottom"/>
          </w:tcPr>
          <w:p>
            <w:pPr>
              <w:ind w:left="240"/>
              <w:spacing w:after="0"/>
              <w:rPr>
                <w:sz w:val="20"/>
                <w:szCs w:val="20"/>
                <w:color w:val="auto"/>
              </w:rPr>
            </w:pPr>
            <w:r>
              <w:rPr>
                <w:rFonts w:ascii="Arial" w:cs="Arial" w:eastAsia="Arial" w:hAnsi="Arial"/>
                <w:sz w:val="18"/>
                <w:szCs w:val="18"/>
                <w:color w:val="auto"/>
              </w:rPr>
              <w:t>Execution of Supplemental Indentures</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904.</w:t>
            </w:r>
          </w:p>
        </w:tc>
        <w:tc>
          <w:tcPr>
            <w:tcW w:w="8760" w:type="dxa"/>
            <w:vAlign w:val="bottom"/>
          </w:tcPr>
          <w:p>
            <w:pPr>
              <w:ind w:left="240"/>
              <w:spacing w:after="0"/>
              <w:rPr>
                <w:sz w:val="20"/>
                <w:szCs w:val="20"/>
                <w:color w:val="auto"/>
              </w:rPr>
            </w:pPr>
            <w:r>
              <w:rPr>
                <w:rFonts w:ascii="Arial" w:cs="Arial" w:eastAsia="Arial" w:hAnsi="Arial"/>
                <w:sz w:val="18"/>
                <w:szCs w:val="18"/>
                <w:color w:val="auto"/>
              </w:rPr>
              <w:t>Effect of Supplemental Indentures</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905.</w:t>
            </w:r>
          </w:p>
        </w:tc>
        <w:tc>
          <w:tcPr>
            <w:tcW w:w="8760" w:type="dxa"/>
            <w:vAlign w:val="bottom"/>
          </w:tcPr>
          <w:p>
            <w:pPr>
              <w:ind w:left="240"/>
              <w:spacing w:after="0"/>
              <w:rPr>
                <w:sz w:val="20"/>
                <w:szCs w:val="20"/>
                <w:color w:val="auto"/>
              </w:rPr>
            </w:pPr>
            <w:r>
              <w:rPr>
                <w:rFonts w:ascii="Arial" w:cs="Arial" w:eastAsia="Arial" w:hAnsi="Arial"/>
                <w:sz w:val="18"/>
                <w:szCs w:val="18"/>
                <w:color w:val="auto"/>
              </w:rPr>
              <w:t>Conformity with Trust Indenture Act</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906.</w:t>
            </w:r>
          </w:p>
        </w:tc>
        <w:tc>
          <w:tcPr>
            <w:tcW w:w="8760" w:type="dxa"/>
            <w:vAlign w:val="bottom"/>
          </w:tcPr>
          <w:p>
            <w:pPr>
              <w:ind w:left="240"/>
              <w:spacing w:after="0"/>
              <w:rPr>
                <w:sz w:val="20"/>
                <w:szCs w:val="20"/>
                <w:color w:val="auto"/>
              </w:rPr>
            </w:pPr>
            <w:r>
              <w:rPr>
                <w:rFonts w:ascii="Arial" w:cs="Arial" w:eastAsia="Arial" w:hAnsi="Arial"/>
                <w:sz w:val="18"/>
                <w:szCs w:val="18"/>
                <w:color w:val="auto"/>
              </w:rPr>
              <w:t>Reference in Securities to Supplemental Indentures</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color w:val="auto"/>
              </w:rPr>
              <w:t>ARTICLE TEN - COVENANTS</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1760" w:type="dxa"/>
            <w:vAlign w:val="bottom"/>
          </w:tcPr>
          <w:p>
            <w:pPr>
              <w:ind w:left="340"/>
              <w:spacing w:after="0"/>
              <w:rPr>
                <w:sz w:val="20"/>
                <w:szCs w:val="20"/>
                <w:color w:val="auto"/>
              </w:rPr>
            </w:pPr>
            <w:r>
              <w:rPr>
                <w:rFonts w:ascii="Arial" w:cs="Arial" w:eastAsia="Arial" w:hAnsi="Arial"/>
                <w:sz w:val="18"/>
                <w:szCs w:val="18"/>
                <w:color w:val="auto"/>
              </w:rPr>
              <w:t>SECTION 1001.</w:t>
            </w:r>
          </w:p>
        </w:tc>
        <w:tc>
          <w:tcPr>
            <w:tcW w:w="8760" w:type="dxa"/>
            <w:vAlign w:val="bottom"/>
          </w:tcPr>
          <w:p>
            <w:pPr>
              <w:ind w:left="240"/>
              <w:spacing w:after="0"/>
              <w:rPr>
                <w:sz w:val="20"/>
                <w:szCs w:val="20"/>
                <w:color w:val="auto"/>
              </w:rPr>
            </w:pPr>
            <w:r>
              <w:rPr>
                <w:rFonts w:ascii="Arial" w:cs="Arial" w:eastAsia="Arial" w:hAnsi="Arial"/>
                <w:sz w:val="18"/>
                <w:szCs w:val="18"/>
                <w:color w:val="auto"/>
              </w:rPr>
              <w:t>Payment of Principal, Premium or Make-Whole Amount, if any; and Interest</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1002.</w:t>
            </w:r>
          </w:p>
        </w:tc>
        <w:tc>
          <w:tcPr>
            <w:tcW w:w="8760" w:type="dxa"/>
            <w:vAlign w:val="bottom"/>
          </w:tcPr>
          <w:p>
            <w:pPr>
              <w:ind w:left="240"/>
              <w:spacing w:after="0"/>
              <w:rPr>
                <w:sz w:val="20"/>
                <w:szCs w:val="20"/>
                <w:color w:val="auto"/>
              </w:rPr>
            </w:pPr>
            <w:r>
              <w:rPr>
                <w:rFonts w:ascii="Arial" w:cs="Arial" w:eastAsia="Arial" w:hAnsi="Arial"/>
                <w:sz w:val="18"/>
                <w:szCs w:val="18"/>
                <w:color w:val="auto"/>
              </w:rPr>
              <w:t>Maintenance of Office or Agency</w:t>
            </w: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1003.</w:t>
            </w:r>
          </w:p>
        </w:tc>
        <w:tc>
          <w:tcPr>
            <w:tcW w:w="8760" w:type="dxa"/>
            <w:vAlign w:val="bottom"/>
          </w:tcPr>
          <w:p>
            <w:pPr>
              <w:ind w:left="240"/>
              <w:spacing w:after="0"/>
              <w:rPr>
                <w:sz w:val="20"/>
                <w:szCs w:val="20"/>
                <w:color w:val="auto"/>
              </w:rPr>
            </w:pPr>
            <w:r>
              <w:rPr>
                <w:rFonts w:ascii="Arial" w:cs="Arial" w:eastAsia="Arial" w:hAnsi="Arial"/>
                <w:sz w:val="18"/>
                <w:szCs w:val="18"/>
                <w:color w:val="auto"/>
              </w:rPr>
              <w:t>Money for Securities Payments to Be Held in Trust</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1004.</w:t>
            </w:r>
          </w:p>
        </w:tc>
        <w:tc>
          <w:tcPr>
            <w:tcW w:w="8760" w:type="dxa"/>
            <w:vAlign w:val="bottom"/>
          </w:tcPr>
          <w:p>
            <w:pPr>
              <w:ind w:left="240"/>
              <w:spacing w:after="0"/>
              <w:rPr>
                <w:sz w:val="20"/>
                <w:szCs w:val="20"/>
                <w:color w:val="auto"/>
              </w:rPr>
            </w:pPr>
            <w:r>
              <w:rPr>
                <w:rFonts w:ascii="Arial" w:cs="Arial" w:eastAsia="Arial" w:hAnsi="Arial"/>
                <w:sz w:val="18"/>
                <w:szCs w:val="18"/>
                <w:color w:val="auto"/>
              </w:rPr>
              <w:t>Existence</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1005.</w:t>
            </w:r>
          </w:p>
        </w:tc>
        <w:tc>
          <w:tcPr>
            <w:tcW w:w="8760" w:type="dxa"/>
            <w:vAlign w:val="bottom"/>
          </w:tcPr>
          <w:p>
            <w:pPr>
              <w:ind w:left="240"/>
              <w:spacing w:after="0"/>
              <w:rPr>
                <w:sz w:val="20"/>
                <w:szCs w:val="20"/>
                <w:color w:val="auto"/>
              </w:rPr>
            </w:pPr>
            <w:r>
              <w:rPr>
                <w:rFonts w:ascii="Arial" w:cs="Arial" w:eastAsia="Arial" w:hAnsi="Arial"/>
                <w:sz w:val="18"/>
                <w:szCs w:val="18"/>
                <w:color w:val="auto"/>
              </w:rPr>
              <w:t>Maintenance of Properties</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1006.</w:t>
            </w:r>
          </w:p>
        </w:tc>
        <w:tc>
          <w:tcPr>
            <w:tcW w:w="876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1007.</w:t>
            </w:r>
          </w:p>
        </w:tc>
        <w:tc>
          <w:tcPr>
            <w:tcW w:w="8760" w:type="dxa"/>
            <w:vAlign w:val="bottom"/>
          </w:tcPr>
          <w:p>
            <w:pPr>
              <w:ind w:left="240"/>
              <w:spacing w:after="0"/>
              <w:rPr>
                <w:sz w:val="20"/>
                <w:szCs w:val="20"/>
                <w:color w:val="auto"/>
              </w:rPr>
            </w:pPr>
            <w:r>
              <w:rPr>
                <w:rFonts w:ascii="Arial" w:cs="Arial" w:eastAsia="Arial" w:hAnsi="Arial"/>
                <w:sz w:val="18"/>
                <w:szCs w:val="18"/>
                <w:color w:val="auto"/>
              </w:rPr>
              <w:t>Payment of Taxes and Other Claims</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1008.</w:t>
            </w:r>
          </w:p>
        </w:tc>
        <w:tc>
          <w:tcPr>
            <w:tcW w:w="8760" w:type="dxa"/>
            <w:vAlign w:val="bottom"/>
          </w:tcPr>
          <w:p>
            <w:pPr>
              <w:ind w:left="240"/>
              <w:spacing w:after="0"/>
              <w:rPr>
                <w:sz w:val="20"/>
                <w:szCs w:val="20"/>
                <w:color w:val="auto"/>
              </w:rPr>
            </w:pPr>
            <w:r>
              <w:rPr>
                <w:rFonts w:ascii="Arial" w:cs="Arial" w:eastAsia="Arial" w:hAnsi="Arial"/>
                <w:sz w:val="18"/>
                <w:szCs w:val="18"/>
                <w:color w:val="auto"/>
              </w:rPr>
              <w:t>Statement as to Compliance</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1009.</w:t>
            </w:r>
          </w:p>
        </w:tc>
        <w:tc>
          <w:tcPr>
            <w:tcW w:w="8760" w:type="dxa"/>
            <w:vAlign w:val="bottom"/>
          </w:tcPr>
          <w:p>
            <w:pPr>
              <w:ind w:left="240"/>
              <w:spacing w:after="0"/>
              <w:rPr>
                <w:sz w:val="20"/>
                <w:szCs w:val="20"/>
                <w:color w:val="auto"/>
              </w:rPr>
            </w:pPr>
            <w:r>
              <w:rPr>
                <w:rFonts w:ascii="Arial" w:cs="Arial" w:eastAsia="Arial" w:hAnsi="Arial"/>
                <w:sz w:val="18"/>
                <w:szCs w:val="18"/>
                <w:color w:val="auto"/>
              </w:rPr>
              <w:t>Waiver of Certain Covenants</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0520" w:type="dxa"/>
            <w:vAlign w:val="bottom"/>
            <w:gridSpan w:val="2"/>
          </w:tcPr>
          <w:p>
            <w:pPr>
              <w:spacing w:after="0"/>
              <w:rPr>
                <w:sz w:val="20"/>
                <w:szCs w:val="20"/>
                <w:color w:val="auto"/>
              </w:rPr>
            </w:pPr>
            <w:r>
              <w:rPr>
                <w:rFonts w:ascii="Arial" w:cs="Arial" w:eastAsia="Arial" w:hAnsi="Arial"/>
                <w:sz w:val="18"/>
                <w:szCs w:val="18"/>
                <w:color w:val="auto"/>
              </w:rPr>
              <w:t>ARTICLE ELEVEN - REDEMPTION OF SECURITIES</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8"/>
        </w:trPr>
        <w:tc>
          <w:tcPr>
            <w:tcW w:w="1760" w:type="dxa"/>
            <w:vAlign w:val="bottom"/>
          </w:tcPr>
          <w:p>
            <w:pPr>
              <w:ind w:left="340"/>
              <w:spacing w:after="0"/>
              <w:rPr>
                <w:sz w:val="20"/>
                <w:szCs w:val="20"/>
                <w:color w:val="auto"/>
              </w:rPr>
            </w:pPr>
            <w:r>
              <w:rPr>
                <w:rFonts w:ascii="Arial" w:cs="Arial" w:eastAsia="Arial" w:hAnsi="Arial"/>
                <w:sz w:val="18"/>
                <w:szCs w:val="18"/>
                <w:color w:val="auto"/>
              </w:rPr>
              <w:t>SECTION 1101.</w:t>
            </w:r>
          </w:p>
        </w:tc>
        <w:tc>
          <w:tcPr>
            <w:tcW w:w="876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1102.</w:t>
            </w:r>
          </w:p>
        </w:tc>
        <w:tc>
          <w:tcPr>
            <w:tcW w:w="8760" w:type="dxa"/>
            <w:vAlign w:val="bottom"/>
          </w:tcPr>
          <w:p>
            <w:pPr>
              <w:ind w:left="240"/>
              <w:spacing w:after="0"/>
              <w:rPr>
                <w:sz w:val="20"/>
                <w:szCs w:val="20"/>
                <w:color w:val="auto"/>
              </w:rPr>
            </w:pPr>
            <w:r>
              <w:rPr>
                <w:rFonts w:ascii="Arial" w:cs="Arial" w:eastAsia="Arial" w:hAnsi="Arial"/>
                <w:sz w:val="18"/>
                <w:szCs w:val="18"/>
                <w:color w:val="auto"/>
              </w:rPr>
              <w:t>Election to Redeem; Notice to Trustee</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1103.</w:t>
            </w:r>
          </w:p>
        </w:tc>
        <w:tc>
          <w:tcPr>
            <w:tcW w:w="8760" w:type="dxa"/>
            <w:vAlign w:val="bottom"/>
          </w:tcPr>
          <w:p>
            <w:pPr>
              <w:ind w:left="240"/>
              <w:spacing w:after="0"/>
              <w:rPr>
                <w:sz w:val="20"/>
                <w:szCs w:val="20"/>
                <w:color w:val="auto"/>
              </w:rPr>
            </w:pPr>
            <w:r>
              <w:rPr>
                <w:rFonts w:ascii="Arial" w:cs="Arial" w:eastAsia="Arial" w:hAnsi="Arial"/>
                <w:sz w:val="18"/>
                <w:szCs w:val="18"/>
                <w:color w:val="auto"/>
              </w:rPr>
              <w:t>Selection by Trustee of Securities to Be Redeemed</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-9897745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-9897745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-4915535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-4915535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50" w:name="page51"/>
    <w:bookmarkEnd w:id="50"/>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1104.</w:t>
            </w:r>
          </w:p>
        </w:tc>
        <w:tc>
          <w:tcPr>
            <w:tcW w:w="8480" w:type="dxa"/>
            <w:vAlign w:val="bottom"/>
          </w:tcPr>
          <w:p>
            <w:pPr>
              <w:ind w:left="240"/>
              <w:spacing w:after="0"/>
              <w:rPr>
                <w:sz w:val="20"/>
                <w:szCs w:val="20"/>
                <w:color w:val="auto"/>
              </w:rPr>
            </w:pPr>
            <w:r>
              <w:rPr>
                <w:rFonts w:ascii="Arial" w:cs="Arial" w:eastAsia="Arial" w:hAnsi="Arial"/>
                <w:sz w:val="18"/>
                <w:szCs w:val="18"/>
                <w:color w:val="auto"/>
              </w:rPr>
              <w:t>Notice of Redemption</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760" w:type="dxa"/>
            <w:vAlign w:val="bottom"/>
          </w:tcPr>
          <w:p>
            <w:pPr>
              <w:spacing w:after="0"/>
              <w:rPr>
                <w:sz w:val="24"/>
                <w:szCs w:val="24"/>
                <w:color w:val="auto"/>
              </w:rPr>
            </w:pPr>
          </w:p>
        </w:tc>
        <w:tc>
          <w:tcPr>
            <w:tcW w:w="8480" w:type="dxa"/>
            <w:vAlign w:val="bottom"/>
          </w:tcPr>
          <w:p>
            <w:pPr>
              <w:ind w:left="3900"/>
              <w:spacing w:after="0"/>
              <w:rPr>
                <w:sz w:val="20"/>
                <w:szCs w:val="20"/>
                <w:color w:val="auto"/>
              </w:rPr>
            </w:pPr>
            <w:r>
              <w:rPr>
                <w:rFonts w:ascii="Arial" w:cs="Arial" w:eastAsia="Arial" w:hAnsi="Arial"/>
                <w:sz w:val="18"/>
                <w:szCs w:val="18"/>
                <w:color w:val="auto"/>
              </w:rPr>
              <w:t>4</w:t>
            </w:r>
          </w:p>
        </w:tc>
        <w:tc>
          <w:tcPr>
            <w:tcW w:w="1220" w:type="dxa"/>
            <w:vAlign w:val="bottom"/>
          </w:tcPr>
          <w:p>
            <w:pPr>
              <w:spacing w:after="0"/>
              <w:rPr>
                <w:sz w:val="24"/>
                <w:szCs w:val="24"/>
                <w:color w:val="auto"/>
              </w:rPr>
            </w:pPr>
          </w:p>
        </w:tc>
      </w:tr>
      <w:tr>
        <w:trPr>
          <w:trHeight w:val="132"/>
        </w:trPr>
        <w:tc>
          <w:tcPr>
            <w:tcW w:w="1760" w:type="dxa"/>
            <w:vAlign w:val="bottom"/>
            <w:tcBorders>
              <w:bottom w:val="single" w:sz="8" w:color="808080"/>
            </w:tcBorders>
          </w:tcPr>
          <w:p>
            <w:pPr>
              <w:spacing w:after="0"/>
              <w:rPr>
                <w:sz w:val="11"/>
                <w:szCs w:val="11"/>
                <w:color w:val="auto"/>
              </w:rPr>
            </w:pPr>
          </w:p>
        </w:tc>
        <w:tc>
          <w:tcPr>
            <w:tcW w:w="84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r>
      <w:tr>
        <w:trPr>
          <w:trHeight w:val="766"/>
        </w:trPr>
        <w:tc>
          <w:tcPr>
            <w:tcW w:w="1760" w:type="dxa"/>
            <w:vAlign w:val="bottom"/>
          </w:tcPr>
          <w:p>
            <w:pPr>
              <w:ind w:left="340"/>
              <w:spacing w:after="0"/>
              <w:rPr>
                <w:sz w:val="20"/>
                <w:szCs w:val="20"/>
                <w:color w:val="auto"/>
              </w:rPr>
            </w:pPr>
            <w:r>
              <w:rPr>
                <w:rFonts w:ascii="Arial" w:cs="Arial" w:eastAsia="Arial" w:hAnsi="Arial"/>
                <w:sz w:val="18"/>
                <w:szCs w:val="18"/>
                <w:color w:val="auto"/>
              </w:rPr>
              <w:t>SECTION 1105.</w:t>
            </w:r>
          </w:p>
        </w:tc>
        <w:tc>
          <w:tcPr>
            <w:tcW w:w="8480" w:type="dxa"/>
            <w:vAlign w:val="bottom"/>
          </w:tcPr>
          <w:p>
            <w:pPr>
              <w:ind w:left="240"/>
              <w:spacing w:after="0"/>
              <w:rPr>
                <w:sz w:val="20"/>
                <w:szCs w:val="20"/>
                <w:color w:val="auto"/>
              </w:rPr>
            </w:pPr>
            <w:r>
              <w:rPr>
                <w:rFonts w:ascii="Arial" w:cs="Arial" w:eastAsia="Arial" w:hAnsi="Arial"/>
                <w:sz w:val="18"/>
                <w:szCs w:val="18"/>
                <w:color w:val="auto"/>
              </w:rPr>
              <w:t>Deposit of Redemption Price</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1106.</w:t>
            </w:r>
          </w:p>
        </w:tc>
        <w:tc>
          <w:tcPr>
            <w:tcW w:w="8480" w:type="dxa"/>
            <w:vAlign w:val="bottom"/>
          </w:tcPr>
          <w:p>
            <w:pPr>
              <w:ind w:left="240"/>
              <w:spacing w:after="0"/>
              <w:rPr>
                <w:sz w:val="20"/>
                <w:szCs w:val="20"/>
                <w:color w:val="auto"/>
              </w:rPr>
            </w:pPr>
            <w:r>
              <w:rPr>
                <w:rFonts w:ascii="Arial" w:cs="Arial" w:eastAsia="Arial" w:hAnsi="Arial"/>
                <w:sz w:val="18"/>
                <w:szCs w:val="18"/>
                <w:color w:val="auto"/>
              </w:rPr>
              <w:t>Securities Payable on Redemption Date</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1107.</w:t>
            </w:r>
          </w:p>
        </w:tc>
        <w:tc>
          <w:tcPr>
            <w:tcW w:w="8480" w:type="dxa"/>
            <w:vAlign w:val="bottom"/>
          </w:tcPr>
          <w:p>
            <w:pPr>
              <w:ind w:left="240"/>
              <w:spacing w:after="0"/>
              <w:rPr>
                <w:sz w:val="20"/>
                <w:szCs w:val="20"/>
                <w:color w:val="auto"/>
              </w:rPr>
            </w:pPr>
            <w:r>
              <w:rPr>
                <w:rFonts w:ascii="Arial" w:cs="Arial" w:eastAsia="Arial" w:hAnsi="Arial"/>
                <w:sz w:val="18"/>
                <w:szCs w:val="18"/>
                <w:color w:val="auto"/>
              </w:rPr>
              <w:t>Securities Redeemed in Part</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ARTICLE TWELVE - SINKING FUNDS</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1760" w:type="dxa"/>
            <w:vAlign w:val="bottom"/>
          </w:tcPr>
          <w:p>
            <w:pPr>
              <w:ind w:left="340"/>
              <w:spacing w:after="0"/>
              <w:rPr>
                <w:sz w:val="20"/>
                <w:szCs w:val="20"/>
                <w:color w:val="auto"/>
              </w:rPr>
            </w:pPr>
            <w:r>
              <w:rPr>
                <w:rFonts w:ascii="Arial" w:cs="Arial" w:eastAsia="Arial" w:hAnsi="Arial"/>
                <w:sz w:val="18"/>
                <w:szCs w:val="18"/>
                <w:color w:val="auto"/>
              </w:rPr>
              <w:t>SECTION 1201.</w:t>
            </w:r>
          </w:p>
        </w:tc>
        <w:tc>
          <w:tcPr>
            <w:tcW w:w="848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1202.</w:t>
            </w:r>
          </w:p>
        </w:tc>
        <w:tc>
          <w:tcPr>
            <w:tcW w:w="8480" w:type="dxa"/>
            <w:vAlign w:val="bottom"/>
          </w:tcPr>
          <w:p>
            <w:pPr>
              <w:ind w:left="240"/>
              <w:spacing w:after="0"/>
              <w:rPr>
                <w:sz w:val="20"/>
                <w:szCs w:val="20"/>
                <w:color w:val="auto"/>
              </w:rPr>
            </w:pPr>
            <w:r>
              <w:rPr>
                <w:rFonts w:ascii="Arial" w:cs="Arial" w:eastAsia="Arial" w:hAnsi="Arial"/>
                <w:sz w:val="18"/>
                <w:szCs w:val="18"/>
                <w:color w:val="auto"/>
              </w:rPr>
              <w:t>Satisfaction of Sinking Fund Payments with Securities</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1203.</w:t>
            </w:r>
          </w:p>
        </w:tc>
        <w:tc>
          <w:tcPr>
            <w:tcW w:w="8480" w:type="dxa"/>
            <w:vAlign w:val="bottom"/>
          </w:tcPr>
          <w:p>
            <w:pPr>
              <w:ind w:left="240"/>
              <w:spacing w:after="0"/>
              <w:rPr>
                <w:sz w:val="20"/>
                <w:szCs w:val="20"/>
                <w:color w:val="auto"/>
              </w:rPr>
            </w:pPr>
            <w:r>
              <w:rPr>
                <w:rFonts w:ascii="Arial" w:cs="Arial" w:eastAsia="Arial" w:hAnsi="Arial"/>
                <w:sz w:val="18"/>
                <w:szCs w:val="18"/>
                <w:color w:val="auto"/>
              </w:rPr>
              <w:t>Redemption of Securities for Sinking Fund</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ARTICLE THIRTEEN - REPAYMENT AT THE OPTION OF 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1760" w:type="dxa"/>
            <w:vAlign w:val="bottom"/>
          </w:tcPr>
          <w:p>
            <w:pPr>
              <w:ind w:left="340"/>
              <w:spacing w:after="0"/>
              <w:rPr>
                <w:sz w:val="20"/>
                <w:szCs w:val="20"/>
                <w:color w:val="auto"/>
              </w:rPr>
            </w:pPr>
            <w:r>
              <w:rPr>
                <w:rFonts w:ascii="Arial" w:cs="Arial" w:eastAsia="Arial" w:hAnsi="Arial"/>
                <w:sz w:val="18"/>
                <w:szCs w:val="18"/>
                <w:color w:val="auto"/>
              </w:rPr>
              <w:t>SECTION 1301.</w:t>
            </w:r>
          </w:p>
        </w:tc>
        <w:tc>
          <w:tcPr>
            <w:tcW w:w="848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1302.</w:t>
            </w:r>
          </w:p>
        </w:tc>
        <w:tc>
          <w:tcPr>
            <w:tcW w:w="8480" w:type="dxa"/>
            <w:vAlign w:val="bottom"/>
          </w:tcPr>
          <w:p>
            <w:pPr>
              <w:ind w:left="240"/>
              <w:spacing w:after="0"/>
              <w:rPr>
                <w:sz w:val="20"/>
                <w:szCs w:val="20"/>
                <w:color w:val="auto"/>
              </w:rPr>
            </w:pPr>
            <w:r>
              <w:rPr>
                <w:rFonts w:ascii="Arial" w:cs="Arial" w:eastAsia="Arial" w:hAnsi="Arial"/>
                <w:sz w:val="18"/>
                <w:szCs w:val="18"/>
                <w:color w:val="auto"/>
              </w:rPr>
              <w:t>Repayment of Securities</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1303.</w:t>
            </w:r>
          </w:p>
        </w:tc>
        <w:tc>
          <w:tcPr>
            <w:tcW w:w="8480" w:type="dxa"/>
            <w:vAlign w:val="bottom"/>
          </w:tcPr>
          <w:p>
            <w:pPr>
              <w:ind w:left="240"/>
              <w:spacing w:after="0"/>
              <w:rPr>
                <w:sz w:val="20"/>
                <w:szCs w:val="20"/>
                <w:color w:val="auto"/>
              </w:rPr>
            </w:pPr>
            <w:r>
              <w:rPr>
                <w:rFonts w:ascii="Arial" w:cs="Arial" w:eastAsia="Arial" w:hAnsi="Arial"/>
                <w:sz w:val="18"/>
                <w:szCs w:val="18"/>
                <w:color w:val="auto"/>
              </w:rPr>
              <w:t>Exercise of Option</w:t>
            </w: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1304.</w:t>
            </w:r>
          </w:p>
        </w:tc>
        <w:tc>
          <w:tcPr>
            <w:tcW w:w="8480" w:type="dxa"/>
            <w:vAlign w:val="bottom"/>
          </w:tcPr>
          <w:p>
            <w:pPr>
              <w:ind w:left="240"/>
              <w:spacing w:after="0"/>
              <w:rPr>
                <w:sz w:val="20"/>
                <w:szCs w:val="20"/>
                <w:color w:val="auto"/>
              </w:rPr>
            </w:pPr>
            <w:r>
              <w:rPr>
                <w:rFonts w:ascii="Arial" w:cs="Arial" w:eastAsia="Arial" w:hAnsi="Arial"/>
                <w:sz w:val="18"/>
                <w:szCs w:val="18"/>
                <w:color w:val="auto"/>
              </w:rPr>
              <w:t>When Securities Presented for Repayment Become Due and Payable</w:t>
            </w: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1305.</w:t>
            </w:r>
          </w:p>
        </w:tc>
        <w:tc>
          <w:tcPr>
            <w:tcW w:w="8480" w:type="dxa"/>
            <w:vAlign w:val="bottom"/>
          </w:tcPr>
          <w:p>
            <w:pPr>
              <w:ind w:left="240"/>
              <w:spacing w:after="0"/>
              <w:rPr>
                <w:sz w:val="20"/>
                <w:szCs w:val="20"/>
                <w:color w:val="auto"/>
              </w:rPr>
            </w:pPr>
            <w:r>
              <w:rPr>
                <w:rFonts w:ascii="Arial" w:cs="Arial" w:eastAsia="Arial" w:hAnsi="Arial"/>
                <w:sz w:val="18"/>
                <w:szCs w:val="18"/>
                <w:color w:val="auto"/>
              </w:rPr>
              <w:t>Securities Repaid in Part</w:t>
            </w: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ARTICLE FOURTEEN - DEFEASANCE AND COVENANT DEFEASANCE</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1760" w:type="dxa"/>
            <w:vAlign w:val="bottom"/>
          </w:tcPr>
          <w:p>
            <w:pPr>
              <w:ind w:left="340"/>
              <w:spacing w:after="0"/>
              <w:rPr>
                <w:sz w:val="20"/>
                <w:szCs w:val="20"/>
                <w:color w:val="auto"/>
              </w:rPr>
            </w:pPr>
            <w:r>
              <w:rPr>
                <w:rFonts w:ascii="Arial" w:cs="Arial" w:eastAsia="Arial" w:hAnsi="Arial"/>
                <w:sz w:val="18"/>
                <w:szCs w:val="18"/>
                <w:color w:val="auto"/>
              </w:rPr>
              <w:t>SECTION 1401.</w:t>
            </w:r>
          </w:p>
        </w:tc>
        <w:tc>
          <w:tcPr>
            <w:tcW w:w="8480" w:type="dxa"/>
            <w:vAlign w:val="bottom"/>
          </w:tcPr>
          <w:p>
            <w:pPr>
              <w:ind w:left="240"/>
              <w:spacing w:after="0"/>
              <w:rPr>
                <w:sz w:val="20"/>
                <w:szCs w:val="20"/>
                <w:color w:val="auto"/>
              </w:rPr>
            </w:pPr>
            <w:r>
              <w:rPr>
                <w:rFonts w:ascii="Arial" w:cs="Arial" w:eastAsia="Arial" w:hAnsi="Arial"/>
                <w:sz w:val="18"/>
                <w:szCs w:val="18"/>
                <w:color w:val="auto"/>
              </w:rPr>
              <w:t>Applicability of Article; Company’s Option to Effect Defeasance or Covenant Defeasance</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1402.</w:t>
            </w:r>
          </w:p>
        </w:tc>
        <w:tc>
          <w:tcPr>
            <w:tcW w:w="8480" w:type="dxa"/>
            <w:vAlign w:val="bottom"/>
          </w:tcPr>
          <w:p>
            <w:pPr>
              <w:ind w:left="240"/>
              <w:spacing w:after="0"/>
              <w:rPr>
                <w:sz w:val="20"/>
                <w:szCs w:val="20"/>
                <w:color w:val="auto"/>
              </w:rPr>
            </w:pPr>
            <w:r>
              <w:rPr>
                <w:rFonts w:ascii="Arial" w:cs="Arial" w:eastAsia="Arial" w:hAnsi="Arial"/>
                <w:sz w:val="18"/>
                <w:szCs w:val="18"/>
                <w:color w:val="auto"/>
              </w:rPr>
              <w:t>Defeasance and Discharge</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1403.</w:t>
            </w:r>
          </w:p>
        </w:tc>
        <w:tc>
          <w:tcPr>
            <w:tcW w:w="8480" w:type="dxa"/>
            <w:vAlign w:val="bottom"/>
          </w:tcPr>
          <w:p>
            <w:pPr>
              <w:ind w:left="240"/>
              <w:spacing w:after="0"/>
              <w:rPr>
                <w:sz w:val="20"/>
                <w:szCs w:val="20"/>
                <w:color w:val="auto"/>
              </w:rPr>
            </w:pPr>
            <w:r>
              <w:rPr>
                <w:rFonts w:ascii="Arial" w:cs="Arial" w:eastAsia="Arial" w:hAnsi="Arial"/>
                <w:sz w:val="18"/>
                <w:szCs w:val="18"/>
                <w:color w:val="auto"/>
              </w:rPr>
              <w:t>Covenant Defeasance</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1404.</w:t>
            </w:r>
          </w:p>
        </w:tc>
        <w:tc>
          <w:tcPr>
            <w:tcW w:w="8480" w:type="dxa"/>
            <w:vAlign w:val="bottom"/>
          </w:tcPr>
          <w:p>
            <w:pPr>
              <w:ind w:left="240"/>
              <w:spacing w:after="0"/>
              <w:rPr>
                <w:sz w:val="20"/>
                <w:szCs w:val="20"/>
                <w:color w:val="auto"/>
              </w:rPr>
            </w:pPr>
            <w:r>
              <w:rPr>
                <w:rFonts w:ascii="Arial" w:cs="Arial" w:eastAsia="Arial" w:hAnsi="Arial"/>
                <w:sz w:val="18"/>
                <w:szCs w:val="18"/>
                <w:color w:val="auto"/>
              </w:rPr>
              <w:t>Conditions to Defeasance or Covenant Defeasance</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1405.</w:t>
            </w:r>
          </w:p>
        </w:tc>
        <w:tc>
          <w:tcPr>
            <w:tcW w:w="8480" w:type="dxa"/>
            <w:vAlign w:val="bottom"/>
          </w:tcPr>
          <w:p>
            <w:pPr>
              <w:ind w:left="240"/>
              <w:spacing w:after="0"/>
              <w:rPr>
                <w:sz w:val="20"/>
                <w:szCs w:val="20"/>
                <w:color w:val="auto"/>
              </w:rPr>
            </w:pPr>
            <w:r>
              <w:rPr>
                <w:rFonts w:ascii="Arial" w:cs="Arial" w:eastAsia="Arial" w:hAnsi="Arial"/>
                <w:sz w:val="18"/>
                <w:szCs w:val="18"/>
                <w:color w:val="auto"/>
              </w:rPr>
              <w:t>Deposited Money and Government Obligations to Be Held in Trust; Other Miscellaneous Provisions</w:t>
            </w: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ARTICLE FIFTEEN - MEETINGS OF HOLDERS OF SECURITIES</w:t>
            </w: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1760" w:type="dxa"/>
            <w:vAlign w:val="bottom"/>
          </w:tcPr>
          <w:p>
            <w:pPr>
              <w:ind w:left="340"/>
              <w:spacing w:after="0"/>
              <w:rPr>
                <w:sz w:val="20"/>
                <w:szCs w:val="20"/>
                <w:color w:val="auto"/>
              </w:rPr>
            </w:pPr>
            <w:r>
              <w:rPr>
                <w:rFonts w:ascii="Arial" w:cs="Arial" w:eastAsia="Arial" w:hAnsi="Arial"/>
                <w:sz w:val="18"/>
                <w:szCs w:val="18"/>
                <w:color w:val="auto"/>
              </w:rPr>
              <w:t>SECTION 1501.</w:t>
            </w:r>
          </w:p>
        </w:tc>
        <w:tc>
          <w:tcPr>
            <w:tcW w:w="8480" w:type="dxa"/>
            <w:vAlign w:val="bottom"/>
          </w:tcPr>
          <w:p>
            <w:pPr>
              <w:ind w:left="240"/>
              <w:spacing w:after="0"/>
              <w:rPr>
                <w:sz w:val="20"/>
                <w:szCs w:val="20"/>
                <w:color w:val="auto"/>
              </w:rPr>
            </w:pPr>
            <w:r>
              <w:rPr>
                <w:rFonts w:ascii="Arial" w:cs="Arial" w:eastAsia="Arial" w:hAnsi="Arial"/>
                <w:sz w:val="18"/>
                <w:szCs w:val="18"/>
                <w:color w:val="auto"/>
              </w:rPr>
              <w:t>Purposes for Which Meetings May Be Called</w:t>
            </w: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1502.</w:t>
            </w:r>
          </w:p>
        </w:tc>
        <w:tc>
          <w:tcPr>
            <w:tcW w:w="8480" w:type="dxa"/>
            <w:vAlign w:val="bottom"/>
          </w:tcPr>
          <w:p>
            <w:pPr>
              <w:ind w:left="240"/>
              <w:spacing w:after="0"/>
              <w:rPr>
                <w:sz w:val="20"/>
                <w:szCs w:val="20"/>
                <w:color w:val="auto"/>
              </w:rPr>
            </w:pPr>
            <w:r>
              <w:rPr>
                <w:rFonts w:ascii="Arial" w:cs="Arial" w:eastAsia="Arial" w:hAnsi="Arial"/>
                <w:sz w:val="18"/>
                <w:szCs w:val="18"/>
                <w:color w:val="auto"/>
              </w:rPr>
              <w:t>Call, Notice and Place of Meetings</w:t>
            </w: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1503.</w:t>
            </w:r>
          </w:p>
        </w:tc>
        <w:tc>
          <w:tcPr>
            <w:tcW w:w="8480" w:type="dxa"/>
            <w:vAlign w:val="bottom"/>
          </w:tcPr>
          <w:p>
            <w:pPr>
              <w:ind w:left="240"/>
              <w:spacing w:after="0"/>
              <w:rPr>
                <w:sz w:val="20"/>
                <w:szCs w:val="20"/>
                <w:color w:val="auto"/>
              </w:rPr>
            </w:pPr>
            <w:r>
              <w:rPr>
                <w:rFonts w:ascii="Arial" w:cs="Arial" w:eastAsia="Arial" w:hAnsi="Arial"/>
                <w:sz w:val="18"/>
                <w:szCs w:val="18"/>
                <w:color w:val="auto"/>
              </w:rPr>
              <w:t>Persons Entitled to Vote at Meetings</w:t>
            </w: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1504.</w:t>
            </w:r>
          </w:p>
        </w:tc>
        <w:tc>
          <w:tcPr>
            <w:tcW w:w="8480" w:type="dxa"/>
            <w:vAlign w:val="bottom"/>
          </w:tcPr>
          <w:p>
            <w:pPr>
              <w:ind w:left="240"/>
              <w:spacing w:after="0"/>
              <w:rPr>
                <w:sz w:val="20"/>
                <w:szCs w:val="20"/>
                <w:color w:val="auto"/>
              </w:rPr>
            </w:pPr>
            <w:r>
              <w:rPr>
                <w:rFonts w:ascii="Arial" w:cs="Arial" w:eastAsia="Arial" w:hAnsi="Arial"/>
                <w:sz w:val="18"/>
                <w:szCs w:val="18"/>
                <w:color w:val="auto"/>
              </w:rPr>
              <w:t>Quorum; Action</w:t>
            </w: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1505.</w:t>
            </w:r>
          </w:p>
        </w:tc>
        <w:tc>
          <w:tcPr>
            <w:tcW w:w="8480" w:type="dxa"/>
            <w:vAlign w:val="bottom"/>
          </w:tcPr>
          <w:p>
            <w:pPr>
              <w:ind w:left="24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1506.</w:t>
            </w:r>
          </w:p>
        </w:tc>
        <w:tc>
          <w:tcPr>
            <w:tcW w:w="8480" w:type="dxa"/>
            <w:vAlign w:val="bottom"/>
          </w:tcPr>
          <w:p>
            <w:pPr>
              <w:ind w:left="240"/>
              <w:spacing w:after="0"/>
              <w:rPr>
                <w:sz w:val="20"/>
                <w:szCs w:val="20"/>
                <w:color w:val="auto"/>
              </w:rPr>
            </w:pPr>
            <w:r>
              <w:rPr>
                <w:rFonts w:ascii="Arial" w:cs="Arial" w:eastAsia="Arial" w:hAnsi="Arial"/>
                <w:sz w:val="18"/>
                <w:szCs w:val="18"/>
                <w:color w:val="auto"/>
              </w:rPr>
              <w:t>Counting Votes and Recording Action of Meetings</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760" w:type="dxa"/>
            <w:vAlign w:val="bottom"/>
          </w:tcPr>
          <w:p>
            <w:pPr>
              <w:spacing w:after="0"/>
              <w:rPr>
                <w:sz w:val="24"/>
                <w:szCs w:val="24"/>
                <w:color w:val="auto"/>
              </w:rPr>
            </w:pPr>
          </w:p>
        </w:tc>
        <w:tc>
          <w:tcPr>
            <w:tcW w:w="8480" w:type="dxa"/>
            <w:vAlign w:val="bottom"/>
          </w:tcPr>
          <w:p>
            <w:pPr>
              <w:ind w:left="3900"/>
              <w:spacing w:after="0"/>
              <w:rPr>
                <w:sz w:val="20"/>
                <w:szCs w:val="20"/>
                <w:color w:val="auto"/>
              </w:rPr>
            </w:pPr>
            <w:r>
              <w:rPr>
                <w:rFonts w:ascii="Arial" w:cs="Arial" w:eastAsia="Arial" w:hAnsi="Arial"/>
                <w:sz w:val="18"/>
                <w:szCs w:val="18"/>
                <w:color w:val="auto"/>
              </w:rPr>
              <w:t>5</w:t>
            </w:r>
          </w:p>
        </w:tc>
        <w:tc>
          <w:tcPr>
            <w:tcW w:w="1220" w:type="dxa"/>
            <w:vAlign w:val="bottom"/>
          </w:tcPr>
          <w:p>
            <w:pPr>
              <w:spacing w:after="0"/>
              <w:rPr>
                <w:sz w:val="24"/>
                <w:szCs w:val="24"/>
                <w:color w:val="auto"/>
              </w:rPr>
            </w:pPr>
          </w:p>
        </w:tc>
      </w:tr>
      <w:tr>
        <w:trPr>
          <w:trHeight w:val="132"/>
        </w:trPr>
        <w:tc>
          <w:tcPr>
            <w:tcW w:w="10240" w:type="dxa"/>
            <w:vAlign w:val="bottom"/>
            <w:tcBorders>
              <w:bottom w:val="single" w:sz="8" w:color="808080"/>
            </w:tcBorders>
            <w:gridSpan w:val="2"/>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r>
      <w:tr>
        <w:trPr>
          <w:trHeight w:val="780"/>
        </w:trPr>
        <w:tc>
          <w:tcPr>
            <w:tcW w:w="10240" w:type="dxa"/>
            <w:vAlign w:val="bottom"/>
            <w:gridSpan w:val="2"/>
          </w:tcPr>
          <w:p>
            <w:pPr>
              <w:spacing w:after="0"/>
              <w:rPr>
                <w:sz w:val="20"/>
                <w:szCs w:val="20"/>
                <w:color w:val="auto"/>
              </w:rPr>
            </w:pPr>
            <w:r>
              <w:rPr>
                <w:rFonts w:ascii="Arial" w:cs="Arial" w:eastAsia="Arial" w:hAnsi="Arial"/>
                <w:sz w:val="18"/>
                <w:szCs w:val="18"/>
                <w:color w:val="auto"/>
              </w:rPr>
              <w:t>ARTICLE SIXTEEN - CONVERSION OF SECURITIES</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1760" w:type="dxa"/>
            <w:vAlign w:val="bottom"/>
          </w:tcPr>
          <w:p>
            <w:pPr>
              <w:ind w:left="340"/>
              <w:spacing w:after="0"/>
              <w:rPr>
                <w:sz w:val="20"/>
                <w:szCs w:val="20"/>
                <w:color w:val="auto"/>
              </w:rPr>
            </w:pPr>
            <w:r>
              <w:rPr>
                <w:rFonts w:ascii="Arial" w:cs="Arial" w:eastAsia="Arial" w:hAnsi="Arial"/>
                <w:sz w:val="18"/>
                <w:szCs w:val="18"/>
                <w:color w:val="auto"/>
              </w:rPr>
              <w:t>SECTION 1601.</w:t>
            </w:r>
          </w:p>
        </w:tc>
        <w:tc>
          <w:tcPr>
            <w:tcW w:w="8480" w:type="dxa"/>
            <w:vAlign w:val="bottom"/>
          </w:tcPr>
          <w:p>
            <w:pPr>
              <w:ind w:left="240"/>
              <w:spacing w:after="0"/>
              <w:rPr>
                <w:sz w:val="20"/>
                <w:szCs w:val="20"/>
                <w:color w:val="auto"/>
              </w:rPr>
            </w:pPr>
            <w:r>
              <w:rPr>
                <w:rFonts w:ascii="Arial" w:cs="Arial" w:eastAsia="Arial" w:hAnsi="Arial"/>
                <w:sz w:val="18"/>
                <w:szCs w:val="18"/>
                <w:color w:val="auto"/>
              </w:rPr>
              <w:t>Applicability of Article; Conversion Privilege and Conversion Price</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1602.</w:t>
            </w:r>
          </w:p>
        </w:tc>
        <w:tc>
          <w:tcPr>
            <w:tcW w:w="8480" w:type="dxa"/>
            <w:vAlign w:val="bottom"/>
          </w:tcPr>
          <w:p>
            <w:pPr>
              <w:ind w:left="240"/>
              <w:spacing w:after="0"/>
              <w:rPr>
                <w:sz w:val="20"/>
                <w:szCs w:val="20"/>
                <w:color w:val="auto"/>
              </w:rPr>
            </w:pPr>
            <w:r>
              <w:rPr>
                <w:rFonts w:ascii="Arial" w:cs="Arial" w:eastAsia="Arial" w:hAnsi="Arial"/>
                <w:sz w:val="18"/>
                <w:szCs w:val="18"/>
                <w:color w:val="auto"/>
              </w:rPr>
              <w:t>Exercise of Conversion Privilege</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1603.</w:t>
            </w:r>
          </w:p>
        </w:tc>
        <w:tc>
          <w:tcPr>
            <w:tcW w:w="8480" w:type="dxa"/>
            <w:vAlign w:val="bottom"/>
          </w:tcPr>
          <w:p>
            <w:pPr>
              <w:ind w:left="240"/>
              <w:spacing w:after="0"/>
              <w:rPr>
                <w:sz w:val="20"/>
                <w:szCs w:val="20"/>
                <w:color w:val="auto"/>
              </w:rPr>
            </w:pPr>
            <w:r>
              <w:rPr>
                <w:rFonts w:ascii="Arial" w:cs="Arial" w:eastAsia="Arial" w:hAnsi="Arial"/>
                <w:sz w:val="18"/>
                <w:szCs w:val="18"/>
                <w:color w:val="auto"/>
              </w:rPr>
              <w:t>Fractions of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1604.</w:t>
            </w:r>
          </w:p>
        </w:tc>
        <w:tc>
          <w:tcPr>
            <w:tcW w:w="8480" w:type="dxa"/>
            <w:vAlign w:val="bottom"/>
          </w:tcPr>
          <w:p>
            <w:pPr>
              <w:ind w:left="240"/>
              <w:spacing w:after="0"/>
              <w:rPr>
                <w:sz w:val="20"/>
                <w:szCs w:val="20"/>
                <w:color w:val="auto"/>
              </w:rPr>
            </w:pPr>
            <w:r>
              <w:rPr>
                <w:rFonts w:ascii="Arial" w:cs="Arial" w:eastAsia="Arial" w:hAnsi="Arial"/>
                <w:sz w:val="18"/>
                <w:szCs w:val="18"/>
                <w:color w:val="auto"/>
              </w:rPr>
              <w:t>Adjustment of Conversion Price</w:t>
            </w: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1605.</w:t>
            </w:r>
          </w:p>
        </w:tc>
        <w:tc>
          <w:tcPr>
            <w:tcW w:w="8480" w:type="dxa"/>
            <w:vAlign w:val="bottom"/>
          </w:tcPr>
          <w:p>
            <w:pPr>
              <w:ind w:left="240"/>
              <w:spacing w:after="0"/>
              <w:rPr>
                <w:sz w:val="20"/>
                <w:szCs w:val="20"/>
                <w:color w:val="auto"/>
              </w:rPr>
            </w:pPr>
            <w:r>
              <w:rPr>
                <w:rFonts w:ascii="Arial" w:cs="Arial" w:eastAsia="Arial" w:hAnsi="Arial"/>
                <w:sz w:val="18"/>
                <w:szCs w:val="18"/>
                <w:color w:val="auto"/>
              </w:rPr>
              <w:t>Notice of Adjustments of Conversion Price</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1606.</w:t>
            </w:r>
          </w:p>
        </w:tc>
        <w:tc>
          <w:tcPr>
            <w:tcW w:w="8480" w:type="dxa"/>
            <w:vAlign w:val="bottom"/>
          </w:tcPr>
          <w:p>
            <w:pPr>
              <w:ind w:left="240"/>
              <w:spacing w:after="0"/>
              <w:rPr>
                <w:sz w:val="20"/>
                <w:szCs w:val="20"/>
                <w:color w:val="auto"/>
              </w:rPr>
            </w:pPr>
            <w:r>
              <w:rPr>
                <w:rFonts w:ascii="Arial" w:cs="Arial" w:eastAsia="Arial" w:hAnsi="Arial"/>
                <w:sz w:val="18"/>
                <w:szCs w:val="18"/>
                <w:color w:val="auto"/>
              </w:rPr>
              <w:t>Notice of Certain Corporate Action</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1607.</w:t>
            </w:r>
          </w:p>
        </w:tc>
        <w:tc>
          <w:tcPr>
            <w:tcW w:w="8480" w:type="dxa"/>
            <w:vAlign w:val="bottom"/>
          </w:tcPr>
          <w:p>
            <w:pPr>
              <w:ind w:left="240"/>
              <w:spacing w:after="0"/>
              <w:rPr>
                <w:sz w:val="20"/>
                <w:szCs w:val="20"/>
                <w:color w:val="auto"/>
              </w:rPr>
            </w:pPr>
            <w:r>
              <w:rPr>
                <w:rFonts w:ascii="Arial" w:cs="Arial" w:eastAsia="Arial" w:hAnsi="Arial"/>
                <w:sz w:val="18"/>
                <w:szCs w:val="18"/>
                <w:color w:val="auto"/>
              </w:rPr>
              <w:t>Company to Reserve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1608.</w:t>
            </w:r>
          </w:p>
        </w:tc>
        <w:tc>
          <w:tcPr>
            <w:tcW w:w="8480" w:type="dxa"/>
            <w:vAlign w:val="bottom"/>
          </w:tcPr>
          <w:p>
            <w:pPr>
              <w:ind w:left="240"/>
              <w:spacing w:after="0"/>
              <w:rPr>
                <w:sz w:val="20"/>
                <w:szCs w:val="20"/>
                <w:color w:val="auto"/>
              </w:rPr>
            </w:pPr>
            <w:r>
              <w:rPr>
                <w:rFonts w:ascii="Arial" w:cs="Arial" w:eastAsia="Arial" w:hAnsi="Arial"/>
                <w:sz w:val="18"/>
                <w:szCs w:val="18"/>
                <w:color w:val="auto"/>
              </w:rPr>
              <w:t>Taxes on Conversion</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1609.</w:t>
            </w:r>
          </w:p>
        </w:tc>
        <w:tc>
          <w:tcPr>
            <w:tcW w:w="8480" w:type="dxa"/>
            <w:vAlign w:val="bottom"/>
          </w:tcPr>
          <w:p>
            <w:pPr>
              <w:ind w:left="240"/>
              <w:spacing w:after="0"/>
              <w:rPr>
                <w:sz w:val="20"/>
                <w:szCs w:val="20"/>
                <w:color w:val="auto"/>
              </w:rPr>
            </w:pPr>
            <w:r>
              <w:rPr>
                <w:rFonts w:ascii="Arial" w:cs="Arial" w:eastAsia="Arial" w:hAnsi="Arial"/>
                <w:sz w:val="18"/>
                <w:szCs w:val="18"/>
                <w:color w:val="auto"/>
              </w:rPr>
              <w:t>Covenants as to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1610.</w:t>
            </w:r>
          </w:p>
        </w:tc>
        <w:tc>
          <w:tcPr>
            <w:tcW w:w="8480" w:type="dxa"/>
            <w:vAlign w:val="bottom"/>
          </w:tcPr>
          <w:p>
            <w:pPr>
              <w:ind w:left="240"/>
              <w:spacing w:after="0"/>
              <w:rPr>
                <w:sz w:val="20"/>
                <w:szCs w:val="20"/>
                <w:color w:val="auto"/>
              </w:rPr>
            </w:pPr>
            <w:r>
              <w:rPr>
                <w:rFonts w:ascii="Arial" w:cs="Arial" w:eastAsia="Arial" w:hAnsi="Arial"/>
                <w:sz w:val="18"/>
                <w:szCs w:val="18"/>
                <w:color w:val="auto"/>
              </w:rPr>
              <w:t>Cancellation of Converted Securities</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1611.</w:t>
            </w:r>
          </w:p>
        </w:tc>
        <w:tc>
          <w:tcPr>
            <w:tcW w:w="8480" w:type="dxa"/>
            <w:vAlign w:val="bottom"/>
          </w:tcPr>
          <w:p>
            <w:pPr>
              <w:ind w:left="240"/>
              <w:spacing w:after="0"/>
              <w:rPr>
                <w:sz w:val="20"/>
                <w:szCs w:val="20"/>
                <w:color w:val="auto"/>
              </w:rPr>
            </w:pPr>
            <w:r>
              <w:rPr>
                <w:rFonts w:ascii="Arial" w:cs="Arial" w:eastAsia="Arial" w:hAnsi="Arial"/>
                <w:sz w:val="18"/>
                <w:szCs w:val="18"/>
                <w:color w:val="auto"/>
              </w:rPr>
              <w:t>Provisions in Case of Consolidation, Merger or Sale of Assets; Special Distributions</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1612.</w:t>
            </w:r>
          </w:p>
        </w:tc>
        <w:tc>
          <w:tcPr>
            <w:tcW w:w="8480" w:type="dxa"/>
            <w:vAlign w:val="bottom"/>
          </w:tcPr>
          <w:p>
            <w:pPr>
              <w:ind w:left="240"/>
              <w:spacing w:after="0"/>
              <w:rPr>
                <w:sz w:val="20"/>
                <w:szCs w:val="20"/>
                <w:color w:val="auto"/>
              </w:rPr>
            </w:pPr>
            <w:r>
              <w:rPr>
                <w:rFonts w:ascii="Arial" w:cs="Arial" w:eastAsia="Arial" w:hAnsi="Arial"/>
                <w:sz w:val="18"/>
                <w:szCs w:val="18"/>
                <w:color w:val="auto"/>
              </w:rPr>
              <w:t>Trustee Adjustment Disclaimer; Company Determination Final</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60" w:type="dxa"/>
            <w:vAlign w:val="bottom"/>
          </w:tcPr>
          <w:p>
            <w:pPr>
              <w:ind w:left="340"/>
              <w:spacing w:after="0"/>
              <w:rPr>
                <w:sz w:val="20"/>
                <w:szCs w:val="20"/>
                <w:color w:val="auto"/>
              </w:rPr>
            </w:pPr>
            <w:r>
              <w:rPr>
                <w:rFonts w:ascii="Arial" w:cs="Arial" w:eastAsia="Arial" w:hAnsi="Arial"/>
                <w:sz w:val="18"/>
                <w:szCs w:val="18"/>
                <w:color w:val="auto"/>
              </w:rPr>
              <w:t>SECTION 1613.</w:t>
            </w:r>
          </w:p>
        </w:tc>
        <w:tc>
          <w:tcPr>
            <w:tcW w:w="8480" w:type="dxa"/>
            <w:vAlign w:val="bottom"/>
          </w:tcPr>
          <w:p>
            <w:pPr>
              <w:ind w:left="240"/>
              <w:spacing w:after="0"/>
              <w:rPr>
                <w:sz w:val="20"/>
                <w:szCs w:val="20"/>
                <w:color w:val="auto"/>
              </w:rPr>
            </w:pPr>
            <w:r>
              <w:rPr>
                <w:rFonts w:ascii="Arial" w:cs="Arial" w:eastAsia="Arial" w:hAnsi="Arial"/>
                <w:sz w:val="18"/>
                <w:szCs w:val="18"/>
                <w:color w:val="auto"/>
              </w:rPr>
              <w:t>When No Adjustment Required</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760" w:type="dxa"/>
            <w:vAlign w:val="bottom"/>
          </w:tcPr>
          <w:p>
            <w:pPr>
              <w:ind w:left="340"/>
              <w:spacing w:after="0"/>
              <w:rPr>
                <w:sz w:val="20"/>
                <w:szCs w:val="20"/>
                <w:color w:val="auto"/>
              </w:rPr>
            </w:pPr>
            <w:r>
              <w:rPr>
                <w:rFonts w:ascii="Arial" w:cs="Arial" w:eastAsia="Arial" w:hAnsi="Arial"/>
                <w:sz w:val="18"/>
                <w:szCs w:val="18"/>
                <w:color w:val="auto"/>
              </w:rPr>
              <w:t>SECTION 1614.</w:t>
            </w:r>
          </w:p>
        </w:tc>
        <w:tc>
          <w:tcPr>
            <w:tcW w:w="8480" w:type="dxa"/>
            <w:vAlign w:val="bottom"/>
          </w:tcPr>
          <w:p>
            <w:pPr>
              <w:ind w:left="240"/>
              <w:spacing w:after="0"/>
              <w:rPr>
                <w:sz w:val="20"/>
                <w:szCs w:val="20"/>
                <w:color w:val="auto"/>
              </w:rPr>
            </w:pPr>
            <w:r>
              <w:rPr>
                <w:rFonts w:ascii="Arial" w:cs="Arial" w:eastAsia="Arial" w:hAnsi="Arial"/>
                <w:sz w:val="18"/>
                <w:szCs w:val="18"/>
                <w:color w:val="auto"/>
              </w:rPr>
              <w:t>Equivalent Adjustments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-7976870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-7976870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-2582545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-2582545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ESPERION THERAPEUTICS, INC.</w:t>
      </w:r>
    </w:p>
    <w:p>
      <w:pPr>
        <w:spacing w:after="0" w:line="225" w:lineRule="exact"/>
        <w:rPr>
          <w:sz w:val="20"/>
          <w:szCs w:val="20"/>
          <w:color w:val="auto"/>
        </w:rPr>
      </w:pPr>
    </w:p>
    <w:p>
      <w:pPr>
        <w:ind w:left="900" w:right="660" w:hanging="458"/>
        <w:spacing w:after="0" w:line="277" w:lineRule="auto"/>
        <w:rPr>
          <w:sz w:val="20"/>
          <w:szCs w:val="20"/>
          <w:color w:val="auto"/>
        </w:rPr>
      </w:pPr>
      <w:r>
        <w:rPr>
          <w:rFonts w:ascii="Arial" w:cs="Arial" w:eastAsia="Arial" w:hAnsi="Arial"/>
          <w:sz w:val="18"/>
          <w:szCs w:val="18"/>
          <w:color w:val="auto"/>
        </w:rPr>
        <w:t>Reconciliation and tie between the Trust Indenture Act of 1939, as amended (the “Trust Indenture Act” or “TIA”) and the Indenture, dated as of , 20 .</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Trust Indenture Act Section</w:t>
            </w:r>
          </w:p>
        </w:tc>
        <w:tc>
          <w:tcPr>
            <w:tcW w:w="5600" w:type="dxa"/>
            <w:vAlign w:val="bottom"/>
            <w:gridSpan w:val="2"/>
          </w:tcPr>
          <w:p>
            <w:pPr>
              <w:ind w:left="2240"/>
              <w:spacing w:after="0"/>
              <w:rPr>
                <w:sz w:val="20"/>
                <w:szCs w:val="20"/>
                <w:color w:val="auto"/>
              </w:rPr>
            </w:pPr>
            <w:r>
              <w:rPr>
                <w:rFonts w:ascii="Arial" w:cs="Arial" w:eastAsia="Arial" w:hAnsi="Arial"/>
                <w:sz w:val="14"/>
                <w:szCs w:val="14"/>
                <w:b w:val="1"/>
                <w:bCs w:val="1"/>
                <w:color w:val="auto"/>
              </w:rPr>
              <w:t>Indenture Section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310(a)(1)</w:t>
            </w:r>
          </w:p>
        </w:tc>
        <w:tc>
          <w:tcPr>
            <w:tcW w:w="5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(a)(2)</w:t>
            </w:r>
          </w:p>
        </w:tc>
        <w:tc>
          <w:tcPr>
            <w:tcW w:w="5580" w:type="dxa"/>
            <w:vAlign w:val="bottom"/>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5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607, 608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 312(c)</w:t>
            </w:r>
          </w:p>
        </w:tc>
        <w:tc>
          <w:tcPr>
            <w:tcW w:w="558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313(a)</w:t>
            </w:r>
          </w:p>
        </w:tc>
        <w:tc>
          <w:tcPr>
            <w:tcW w:w="5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w:t>
            </w:r>
          </w:p>
        </w:tc>
        <w:tc>
          <w:tcPr>
            <w:tcW w:w="5580" w:type="dxa"/>
            <w:vAlign w:val="bottom"/>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314(a)</w:t>
            </w:r>
          </w:p>
        </w:tc>
        <w:tc>
          <w:tcPr>
            <w:tcW w:w="5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43" w:orient="portrait"/>
          <w:cols w:equalWidth="0" w:num="1">
            <w:col w:w="11460"/>
          </w:cols>
          <w:pgMar w:left="240" w:top="125" w:right="19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(a)(4)</w:t>
            </w:r>
          </w:p>
        </w:tc>
        <w:tc>
          <w:tcPr>
            <w:tcW w:w="778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740" w:type="dxa"/>
            <w:vAlign w:val="bottom"/>
          </w:tcPr>
          <w:p>
            <w:pPr>
              <w:jc w:val="right"/>
              <w:ind w:right="557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7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36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(c)(1)</w:t>
            </w:r>
          </w:p>
        </w:tc>
        <w:tc>
          <w:tcPr>
            <w:tcW w:w="7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(c)(2)</w:t>
            </w:r>
          </w:p>
        </w:tc>
        <w:tc>
          <w:tcPr>
            <w:tcW w:w="7740" w:type="dxa"/>
            <w:vAlign w:val="bottom"/>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7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315(b)</w:t>
            </w:r>
          </w:p>
        </w:tc>
        <w:tc>
          <w:tcPr>
            <w:tcW w:w="7740" w:type="dxa"/>
            <w:vAlign w:val="bottom"/>
          </w:tcPr>
          <w:p>
            <w:pPr>
              <w:jc w:val="right"/>
              <w:spacing w:after="0"/>
              <w:rPr>
                <w:sz w:val="20"/>
                <w:szCs w:val="20"/>
                <w:color w:val="auto"/>
              </w:rPr>
            </w:pPr>
            <w:r>
              <w:rPr>
                <w:rFonts w:ascii="Arial" w:cs="Arial" w:eastAsia="Arial" w:hAnsi="Arial"/>
                <w:sz w:val="18"/>
                <w:szCs w:val="18"/>
                <w:color w:val="auto"/>
              </w:rPr>
              <w:t>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 316(a) (last sentence)</w:t>
            </w:r>
          </w:p>
        </w:tc>
        <w:tc>
          <w:tcPr>
            <w:tcW w:w="7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101(“Outstanding”)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(a)(1)(A)</w:t>
            </w:r>
          </w:p>
        </w:tc>
        <w:tc>
          <w:tcPr>
            <w:tcW w:w="7740" w:type="dxa"/>
            <w:vAlign w:val="bottom"/>
          </w:tcPr>
          <w:p>
            <w:pPr>
              <w:jc w:val="right"/>
              <w:spacing w:after="0"/>
              <w:rPr>
                <w:sz w:val="20"/>
                <w:szCs w:val="20"/>
                <w:color w:val="auto"/>
              </w:rPr>
            </w:pPr>
            <w:r>
              <w:rPr>
                <w:rFonts w:ascii="Arial" w:cs="Arial" w:eastAsia="Arial" w:hAnsi="Arial"/>
                <w:sz w:val="18"/>
                <w:szCs w:val="18"/>
                <w:color w:val="auto"/>
              </w:rPr>
              <w:t>502, 512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(a)(1)(B)</w:t>
            </w:r>
          </w:p>
        </w:tc>
        <w:tc>
          <w:tcPr>
            <w:tcW w:w="7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w:t>
            </w:r>
          </w:p>
        </w:tc>
        <w:tc>
          <w:tcPr>
            <w:tcW w:w="7740" w:type="dxa"/>
            <w:vAlign w:val="bottom"/>
          </w:tcPr>
          <w:p>
            <w:pPr>
              <w:jc w:val="right"/>
              <w:spacing w:after="0"/>
              <w:rPr>
                <w:sz w:val="20"/>
                <w:szCs w:val="20"/>
                <w:color w:val="auto"/>
              </w:rPr>
            </w:pPr>
            <w:r>
              <w:rPr>
                <w:rFonts w:ascii="Arial" w:cs="Arial" w:eastAsia="Arial" w:hAnsi="Arial"/>
                <w:sz w:val="18"/>
                <w:szCs w:val="18"/>
                <w:color w:val="auto"/>
              </w:rPr>
              <w:t>508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 317(a)(1)</w:t>
            </w:r>
          </w:p>
        </w:tc>
        <w:tc>
          <w:tcPr>
            <w:tcW w:w="7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(a)(2)</w:t>
            </w:r>
          </w:p>
        </w:tc>
        <w:tc>
          <w:tcPr>
            <w:tcW w:w="7740" w:type="dxa"/>
            <w:vAlign w:val="bottom"/>
          </w:tcPr>
          <w:p>
            <w:pPr>
              <w:jc w:val="right"/>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 318(a)</w:t>
            </w:r>
          </w:p>
        </w:tc>
        <w:tc>
          <w:tcPr>
            <w:tcW w:w="7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w:t>
            </w:r>
          </w:p>
        </w:tc>
        <w:tc>
          <w:tcPr>
            <w:tcW w:w="7740" w:type="dxa"/>
            <w:vAlign w:val="bottom"/>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-2042795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-2042795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170"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INDENTURE, dated as of , 20 , ESPERION THERAPEUTICS, INC., a corporation organized under the laws of the State of Delaware (hereinafter called the “Company”), having its principal office at 3891 Ranchero Drive, Suite 150, Ann Arbor, MI 48108, and , as Trustee hereunder (hereinafter called the “Trustee”), having a Corporate Trust Office at .</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The Company deems it necessary to issue from time to time for its lawful purposes senior debt securities (hereinafter called the “Securities”) evidencing its unsecured and senior indebtedness, and has duly authorized the execution and delivery of this Indenture to provide for the issuance from time to time of the Securities, to be issued in one or more Series as provided in this Indenture.</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things necessary to make this Indenture a valid and legally binding agreement of the Company, in accordance with its terms, have been done.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ONE - DEFINITIONS AND OTHER PROVISIONS OF GENERAL APPLICATION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For all purposes of this Indenture, except as otherwise expressly provided or unless the context otherwise requires:</w:t>
      </w:r>
    </w:p>
    <w:p>
      <w:pPr>
        <w:spacing w:after="0" w:line="237" w:lineRule="exact"/>
        <w:rPr>
          <w:sz w:val="20"/>
          <w:szCs w:val="20"/>
          <w:color w:val="auto"/>
        </w:rPr>
      </w:pPr>
    </w:p>
    <w:p>
      <w:pPr>
        <w:ind w:left="1140" w:hanging="251"/>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225" w:lineRule="exact"/>
        <w:rPr>
          <w:rFonts w:ascii="Arial" w:cs="Arial" w:eastAsia="Arial" w:hAnsi="Arial"/>
          <w:sz w:val="18"/>
          <w:szCs w:val="18"/>
          <w:color w:val="auto"/>
        </w:rPr>
      </w:pPr>
    </w:p>
    <w:p>
      <w:pPr>
        <w:ind w:left="440" w:right="160" w:firstLine="449"/>
        <w:spacing w:after="0" w:line="264" w:lineRule="auto"/>
        <w:tabs>
          <w:tab w:leader="none" w:pos="11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181" w:lineRule="exact"/>
        <w:rPr>
          <w:rFonts w:ascii="Arial" w:cs="Arial" w:eastAsia="Arial" w:hAnsi="Arial"/>
          <w:sz w:val="18"/>
          <w:szCs w:val="18"/>
          <w:color w:val="auto"/>
        </w:rPr>
      </w:pPr>
    </w:p>
    <w:p>
      <w:pPr>
        <w:ind w:left="1140" w:hanging="251"/>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reference to an “Article” or a “Section” refers to an Article or Section, as the case may be, of this Indenture; and</w:t>
      </w:r>
    </w:p>
    <w:p>
      <w:pPr>
        <w:spacing w:after="0" w:line="225" w:lineRule="exact"/>
        <w:rPr>
          <w:rFonts w:ascii="Arial" w:cs="Arial" w:eastAsia="Arial" w:hAnsi="Arial"/>
          <w:sz w:val="18"/>
          <w:szCs w:val="18"/>
          <w:color w:val="auto"/>
        </w:rPr>
      </w:pPr>
    </w:p>
    <w:p>
      <w:pPr>
        <w:ind w:left="440" w:right="320" w:firstLine="449"/>
        <w:spacing w:after="0" w:line="277" w:lineRule="auto"/>
        <w:tabs>
          <w:tab w:leader="none" w:pos="11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Trustee pursuant to Section 611 hereof to act on behalf of the Trustee to authenticate Securities of one or more Series.</w:t>
      </w:r>
    </w:p>
    <w:p>
      <w:pPr>
        <w:sectPr>
          <w:pgSz w:w="11900" w:h="16838" w:orient="portrait"/>
          <w:cols w:equalWidth="0" w:num="1">
            <w:col w:w="11460"/>
          </w:cols>
          <w:pgMar w:left="240" w:top="125" w:right="199" w:bottom="0" w:gutter="0" w:footer="0" w:header="0"/>
        </w:sectPr>
      </w:pPr>
    </w:p>
    <w:bookmarkStart w:id="52" w:name="page53"/>
    <w:bookmarkEnd w:id="52"/>
    <w:p>
      <w:pPr>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Newspaper</w:t>
      </w:r>
      <w:r>
        <w:rPr>
          <w:rFonts w:ascii="Arial" w:cs="Arial" w:eastAsia="Arial" w:hAnsi="Arial"/>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established pursuant to Section 201 which is payable to the bearer.</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81"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Resolution</w:t>
      </w:r>
      <w:r>
        <w:rPr>
          <w:rFonts w:ascii="Arial" w:cs="Arial" w:eastAsia="Arial" w:hAnsi="Arial"/>
          <w:sz w:val="17"/>
          <w:szCs w:val="17"/>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73"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Luxembourg, société anonyme, or its successor.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the closing price of a share of Common Stock of the Company as reported on the NASDAQ Global Market.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regulations thereunder.</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Depository</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with respect to any Person, all shares of capital stock issued by such Person other than Preferred Stock.</w:t>
      </w:r>
    </w:p>
    <w:p>
      <w:pPr>
        <w:spacing w:after="0" w:line="225"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4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the Chief Executive Officer, the President, or a Vice President, and by its Treasurer, an Assistant Treasurer, the Secretary or an Assistant Secretary, of the Company, and delivered to the Trustee.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Person</w:t>
      </w:r>
      <w:r>
        <w:rPr>
          <w:rFonts w:ascii="Arial" w:cs="Arial" w:eastAsia="Arial" w:hAnsi="Arial"/>
          <w:sz w:val="18"/>
          <w:szCs w:val="18"/>
          <w:color w:val="auto"/>
        </w:rPr>
        <w:t>” has the meaning specified in Section 1611.</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has the meaning specified in Section 1601.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means the office of the Trustee at which, at any particular time, its corporate trust business shall be principally administered,</w:t>
      </w:r>
    </w:p>
    <w:p>
      <w:pPr>
        <w:spacing w:after="0" w:line="46"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color w:val="auto"/>
        </w:rPr>
        <w:t>which office at the date hereof is located at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 Bearer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ectPr>
          <w:pgSz w:w="11900" w:h="16838" w:orient="portrait"/>
          <w:cols w:equalWidth="0" w:num="1">
            <w:col w:w="11420"/>
          </w:cols>
          <w:pgMar w:left="240" w:top="125" w:right="239" w:bottom="0" w:gutter="0" w:footer="0" w:header="0"/>
        </w:sectPr>
      </w:pPr>
    </w:p>
    <w:bookmarkStart w:id="53" w:name="page54"/>
    <w:bookmarkEnd w:id="53"/>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Defeasance</w:t>
      </w:r>
      <w:r>
        <w:rPr>
          <w:rFonts w:ascii="Arial" w:cs="Arial" w:eastAsia="Arial" w:hAnsi="Arial"/>
          <w:sz w:val="18"/>
          <w:szCs w:val="18"/>
          <w:color w:val="auto"/>
        </w:rPr>
        <w:t>” has the meaning specified in Section 1402.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Record Date</w:t>
      </w:r>
      <w:r>
        <w:rPr>
          <w:rFonts w:ascii="Arial" w:cs="Arial" w:eastAsia="Arial" w:hAnsi="Arial"/>
          <w:sz w:val="18"/>
          <w:szCs w:val="18"/>
          <w:color w:val="auto"/>
        </w:rPr>
        <w:t>” has the meaning specified in Section 1611.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the sign “</w:t>
      </w:r>
      <w:r>
        <w:rPr>
          <w:rFonts w:ascii="Arial" w:cs="Arial" w:eastAsia="Arial" w:hAnsi="Arial"/>
          <w:sz w:val="18"/>
          <w:szCs w:val="18"/>
          <w:u w:val="single" w:color="auto"/>
          <w:color w:val="auto"/>
        </w:rPr>
        <w:t>$</w:t>
      </w:r>
      <w:r>
        <w:rPr>
          <w:rFonts w:ascii="Arial" w:cs="Arial" w:eastAsia="Arial" w:hAnsi="Arial"/>
          <w:sz w:val="18"/>
          <w:szCs w:val="18"/>
          <w:color w:val="auto"/>
        </w:rPr>
        <w:t>” means a dollar or other equivalent unit in such coin or currency of the United States of America as at the time of payment is legal tender for the payment of public and private debts.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ECU</w:t>
      </w:r>
      <w:r>
        <w:rPr>
          <w:rFonts w:ascii="Arial" w:cs="Arial" w:eastAsia="Arial" w:hAnsi="Arial"/>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the operator of the Euroclear System.</w:t>
      </w:r>
    </w:p>
    <w:p>
      <w:pPr>
        <w:spacing w:after="0" w:line="22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Communities</w:t>
      </w:r>
      <w:r>
        <w:rPr>
          <w:rFonts w:ascii="Arial" w:cs="Arial" w:eastAsia="Arial" w:hAnsi="Arial"/>
          <w:sz w:val="18"/>
          <w:szCs w:val="18"/>
          <w:color w:val="auto"/>
        </w:rPr>
        <w:t>” means the European Economic Community, the European Coal and Steel Community and the European Atomic Energy Community.</w:t>
      </w:r>
    </w:p>
    <w:p>
      <w:pPr>
        <w:spacing w:after="0" w:line="170"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Five.</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 as in force at the date as of which this Indenture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Exchange Act is amended after such date, “Exchange Act” means to the extent required by any such amendment, the Exchange Act as so amended.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Currency</w:t>
      </w:r>
      <w:r>
        <w:rPr>
          <w:rFonts w:ascii="Arial" w:cs="Arial" w:eastAsia="Arial" w:hAnsi="Arial"/>
          <w:sz w:val="17"/>
          <w:szCs w:val="17"/>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47"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except as otherwise provided herein, generally accepted accounting principles, as in effect from time to time, as used in the United States applied on a consistent basis.</w:t>
      </w:r>
    </w:p>
    <w:p>
      <w:pPr>
        <w:spacing w:after="0" w:line="170"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8"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2"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shall mean interest payable after Maturity.</w:t>
      </w:r>
    </w:p>
    <w:p>
      <w:pPr>
        <w:sectPr>
          <w:pgSz w:w="11900" w:h="16902" w:orient="portrait"/>
          <w:cols w:equalWidth="0" w:num="1">
            <w:col w:w="11400"/>
          </w:cols>
          <w:pgMar w:left="240" w:top="125" w:right="259" w:bottom="0" w:gutter="0" w:footer="0" w:header="0"/>
        </w:sectPr>
      </w:pPr>
    </w:p>
    <w:bookmarkStart w:id="54" w:name="page55"/>
    <w:bookmarkEnd w:id="54"/>
    <w:p>
      <w:pPr>
        <w:spacing w:after="0" w:line="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Amount</w:t>
      </w:r>
      <w:r>
        <w:rPr>
          <w:rFonts w:ascii="Arial" w:cs="Arial" w:eastAsia="Arial" w:hAnsi="Arial"/>
          <w:sz w:val="17"/>
          <w:szCs w:val="17"/>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 of the Distribution</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right="5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xml:space="preserve">,” when used with respect to Securities, means, as of the date of determination, all Securities theretofore authenticated and delivered under this Indenture,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170" w:lineRule="exact"/>
        <w:rPr>
          <w:sz w:val="20"/>
          <w:szCs w:val="20"/>
          <w:color w:val="auto"/>
        </w:rPr>
      </w:pPr>
    </w:p>
    <w:p>
      <w:pPr>
        <w:ind w:left="1540" w:hanging="210"/>
        <w:spacing w:after="0"/>
        <w:tabs>
          <w:tab w:leader="none" w:pos="1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ind w:left="880" w:right="580" w:firstLine="450"/>
        <w:spacing w:after="0" w:line="277" w:lineRule="auto"/>
        <w:tabs>
          <w:tab w:leader="none" w:pos="15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Securities, or portions thereof, for whose payment or redemption (including repayment at the option of the Holder) money in the necessary amount has been theretofore deposited with the Trustee or any Paying Agent (other than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80" w:right="140"/>
        <w:spacing w:after="0" w:line="286" w:lineRule="auto"/>
        <w:rPr>
          <w:sz w:val="20"/>
          <w:szCs w:val="20"/>
          <w:color w:val="auto"/>
        </w:rPr>
      </w:pPr>
      <w:r>
        <w:rPr>
          <w:rFonts w:ascii="Arial" w:cs="Arial" w:eastAsia="Arial" w:hAnsi="Arial"/>
          <w:sz w:val="17"/>
          <w:szCs w:val="17"/>
          <w:color w:val="auto"/>
        </w:rPr>
        <w:t xml:space="preserve">the Company) in trust or set aside and segregated in trust by the Company (if the Company shall act as its own Paying Agent) for the Holders of such Securities and any coupons appertaining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Securities are to be redeemed, notice of such redemption has been duly given pursuant to this Indenture or provision therefor satisfactory to the Trustee has been made;</w:t>
      </w:r>
    </w:p>
    <w:p>
      <w:pPr>
        <w:spacing w:after="0" w:line="166" w:lineRule="exact"/>
        <w:rPr>
          <w:sz w:val="20"/>
          <w:szCs w:val="20"/>
          <w:color w:val="auto"/>
        </w:rPr>
      </w:pPr>
    </w:p>
    <w:p>
      <w:pPr>
        <w:ind w:left="880" w:firstLine="450"/>
        <w:spacing w:after="0" w:line="277" w:lineRule="auto"/>
        <w:tabs>
          <w:tab w:leader="none" w:pos="16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170" w:lineRule="exact"/>
        <w:rPr>
          <w:rFonts w:ascii="Arial" w:cs="Arial" w:eastAsia="Arial" w:hAnsi="Arial"/>
          <w:sz w:val="18"/>
          <w:szCs w:val="18"/>
          <w:color w:val="auto"/>
        </w:rPr>
      </w:pPr>
    </w:p>
    <w:p>
      <w:pPr>
        <w:ind w:left="880" w:right="40" w:firstLine="450"/>
        <w:spacing w:after="0" w:line="312" w:lineRule="auto"/>
        <w:tabs>
          <w:tab w:leader="none" w:pos="1626"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4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73"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(and premium or Make-Whole Amount, if any) or interest on any Securities or coupons on behalf of the Company.</w:t>
      </w:r>
    </w:p>
    <w:p>
      <w:pPr>
        <w:spacing w:after="0" w:line="170" w:lineRule="exact"/>
        <w:rPr>
          <w:sz w:val="20"/>
          <w:szCs w:val="20"/>
          <w:color w:val="auto"/>
        </w:rPr>
      </w:pPr>
    </w:p>
    <w:p>
      <w:pPr>
        <w:ind w:right="112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ectPr>
          <w:pgSz w:w="11900" w:h="16885" w:orient="portrait"/>
          <w:cols w:equalWidth="0" w:num="1">
            <w:col w:w="11420"/>
          </w:cols>
          <w:pgMar w:left="240" w:top="341" w:right="239" w:bottom="0" w:gutter="0" w:footer="0" w:header="0"/>
        </w:sectPr>
      </w:pPr>
    </w:p>
    <w:bookmarkStart w:id="55" w:name="page56"/>
    <w:bookmarkEnd w:id="55"/>
    <w:p>
      <w:pPr>
        <w:ind w:right="2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Place of Payment</w:t>
      </w:r>
      <w:r>
        <w:rPr>
          <w:rFonts w:ascii="Arial" w:cs="Arial" w:eastAsia="Arial" w:hAnsi="Arial"/>
          <w:sz w:val="17"/>
          <w:szCs w:val="17"/>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47"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4"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ind w:right="80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Price</w:t>
      </w:r>
      <w:r>
        <w:rPr>
          <w:rFonts w:ascii="Arial" w:cs="Arial" w:eastAsia="Arial" w:hAnsi="Arial"/>
          <w:sz w:val="17"/>
          <w:szCs w:val="17"/>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shall mean any Security which is registered in the Security Register.</w:t>
      </w:r>
    </w:p>
    <w:p>
      <w:pPr>
        <w:spacing w:after="0" w:line="22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the date fixed for such repayment by or pursuant to this Indenture.</w:t>
      </w:r>
    </w:p>
    <w:p>
      <w:pPr>
        <w:spacing w:after="0" w:line="17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the price at which it is to be repaid by or pursuant to this Indenture.</w:t>
      </w:r>
    </w:p>
    <w:p>
      <w:pPr>
        <w:spacing w:after="0" w:line="170"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Record Date</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and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Series</w:t>
      </w:r>
      <w:r>
        <w:rPr>
          <w:rFonts w:ascii="Arial" w:cs="Arial" w:eastAsia="Arial" w:hAnsi="Arial"/>
          <w:sz w:val="17"/>
          <w:szCs w:val="17"/>
          <w:color w:val="auto"/>
        </w:rPr>
        <w:t>” of Securities means all securities denoted as part of the same series authorized by or pursuant to a particular Board Resolution.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Term Rights</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Company pursuant to Section 307.</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NASDAQ Global Market is open for business.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Events</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and as in force at the date as of which this Indenture was executed, except as provided in Section 905.</w:t>
      </w:r>
    </w:p>
    <w:p>
      <w:pPr>
        <w:sectPr>
          <w:pgSz w:w="11900" w:h="16838" w:orient="portrait"/>
          <w:cols w:equalWidth="0" w:num="1">
            <w:col w:w="11340"/>
          </w:cols>
          <w:pgMar w:left="240" w:top="341" w:right="319" w:bottom="0" w:gutter="0" w:footer="0" w:header="0"/>
        </w:sectPr>
      </w:pPr>
    </w:p>
    <w:bookmarkStart w:id="56" w:name="page57"/>
    <w:bookmarkEnd w:id="56"/>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Distribution</w:t>
      </w:r>
      <w:r>
        <w:rPr>
          <w:rFonts w:ascii="Arial" w:cs="Arial" w:eastAsia="Arial" w:hAnsi="Arial"/>
          <w:sz w:val="18"/>
          <w:szCs w:val="18"/>
          <w:color w:val="auto"/>
        </w:rPr>
        <w:t>” has the meaning specified in Section 1604.</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81"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24"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93"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(including certificates delivered pursuant to Section 1008) shall include:</w:t>
      </w:r>
    </w:p>
    <w:p>
      <w:pPr>
        <w:spacing w:after="0" w:line="170" w:lineRule="exact"/>
        <w:rPr>
          <w:sz w:val="20"/>
          <w:szCs w:val="20"/>
          <w:color w:val="auto"/>
        </w:rPr>
      </w:pPr>
    </w:p>
    <w:p>
      <w:pPr>
        <w:ind w:left="1140" w:hanging="251"/>
        <w:spacing w:after="0"/>
        <w:tabs>
          <w:tab w:leader="none" w:pos="11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left="440" w:right="460" w:firstLine="449"/>
        <w:spacing w:after="0" w:line="277" w:lineRule="auto"/>
        <w:tabs>
          <w:tab w:leader="none" w:pos="11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440" w:right="540" w:firstLine="449"/>
        <w:spacing w:after="0" w:line="277" w:lineRule="auto"/>
        <w:tabs>
          <w:tab w:leader="none" w:pos="11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Form of Documents Delivered to Trustee</w:t>
      </w:r>
      <w:r>
        <w:rPr>
          <w:rFonts w:ascii="Arial" w:cs="Arial" w:eastAsia="Arial" w:hAnsi="Arial"/>
          <w:sz w:val="17"/>
          <w:szCs w:val="17"/>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possession of the Company, unless such counsel knows, or in the exercise of reasonable care should know, that the certificate or opinion or representations with respect to such matters are erroneous.</w:t>
      </w:r>
    </w:p>
    <w:p>
      <w:pPr>
        <w:spacing w:after="0" w:line="170"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68" w:lineRule="auto"/>
        <w:tabs>
          <w:tab w:leader="none" w:pos="1116"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ectPr>
          <w:pgSz w:w="11900" w:h="16838" w:orient="portrait"/>
          <w:cols w:equalWidth="0" w:num="1">
            <w:col w:w="11400"/>
          </w:cols>
          <w:pgMar w:left="240" w:top="125" w:right="259" w:bottom="62" w:gutter="0" w:footer="0" w:header="0"/>
        </w:sectPr>
      </w:pPr>
    </w:p>
    <w:bookmarkStart w:id="57" w:name="page58"/>
    <w:bookmarkEnd w:id="57"/>
    <w:p>
      <w:pPr>
        <w:ind w:firstLine="889"/>
        <w:spacing w:after="0" w:line="276" w:lineRule="auto"/>
        <w:tabs>
          <w:tab w:leader="none" w:pos="113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72" w:lineRule="exact"/>
        <w:rPr>
          <w:rFonts w:ascii="Arial" w:cs="Arial" w:eastAsia="Arial" w:hAnsi="Arial"/>
          <w:sz w:val="17"/>
          <w:szCs w:val="17"/>
          <w:color w:val="auto"/>
        </w:rPr>
      </w:pPr>
    </w:p>
    <w:p>
      <w:pPr>
        <w:ind w:right="100" w:firstLine="889"/>
        <w:spacing w:after="0" w:line="277" w:lineRule="auto"/>
        <w:tabs>
          <w:tab w:leader="none" w:pos="112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70" w:lineRule="exact"/>
        <w:rPr>
          <w:rFonts w:ascii="Arial" w:cs="Arial" w:eastAsia="Arial" w:hAnsi="Arial"/>
          <w:sz w:val="18"/>
          <w:szCs w:val="18"/>
          <w:color w:val="auto"/>
        </w:rPr>
      </w:pPr>
    </w:p>
    <w:p>
      <w:pPr>
        <w:ind w:right="160" w:firstLine="889"/>
        <w:spacing w:after="0" w:line="271" w:lineRule="auto"/>
        <w:tabs>
          <w:tab w:leader="none" w:pos="113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78" w:lineRule="exact"/>
        <w:rPr>
          <w:rFonts w:ascii="Arial" w:cs="Arial" w:eastAsia="Arial" w:hAnsi="Arial"/>
          <w:sz w:val="17"/>
          <w:szCs w:val="17"/>
          <w:color w:val="auto"/>
        </w:rPr>
      </w:pPr>
    </w:p>
    <w:p>
      <w:pPr>
        <w:ind w:firstLine="889"/>
        <w:spacing w:after="0" w:line="270" w:lineRule="auto"/>
        <w:tabs>
          <w:tab w:leader="none" w:pos="1126"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such record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70" w:lineRule="exact"/>
        <w:rPr>
          <w:sz w:val="20"/>
          <w:szCs w:val="20"/>
          <w:color w:val="auto"/>
        </w:rPr>
      </w:pPr>
    </w:p>
    <w:p>
      <w:pPr>
        <w:ind w:right="260" w:firstLine="889"/>
        <w:spacing w:after="0" w:line="279" w:lineRule="auto"/>
        <w:tabs>
          <w:tab w:leader="none" w:pos="1096"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7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 the Trustee by any Holder or by the Company shall be sufficient for every purpose hereunder if made, given, furnished or filed in writing to or</w:t>
      </w:r>
    </w:p>
    <w:p>
      <w:pPr>
        <w:spacing w:after="0" w:line="46" w:lineRule="exact"/>
        <w:rPr>
          <w:sz w:val="20"/>
          <w:szCs w:val="20"/>
          <w:color w:val="auto"/>
        </w:rPr>
      </w:pPr>
    </w:p>
    <w:p>
      <w:pPr>
        <w:ind w:left="440"/>
        <w:spacing w:after="0"/>
        <w:tabs>
          <w:tab w:leader="none" w:pos="2780" w:val="left"/>
          <w:tab w:leader="none" w:pos="10520" w:val="left"/>
        </w:tabs>
        <w:rPr>
          <w:sz w:val="20"/>
          <w:szCs w:val="20"/>
          <w:color w:val="auto"/>
        </w:rPr>
      </w:pPr>
      <w:r>
        <w:rPr>
          <w:rFonts w:ascii="Arial" w:cs="Arial" w:eastAsia="Arial" w:hAnsi="Arial"/>
          <w:sz w:val="18"/>
          <w:szCs w:val="18"/>
          <w:color w:val="auto"/>
        </w:rPr>
        <w:t>with the Trustee at [</w:t>
      </w:r>
      <w:r>
        <w:rPr>
          <w:sz w:val="20"/>
          <w:szCs w:val="20"/>
          <w:color w:val="auto"/>
        </w:rPr>
        <w:tab/>
      </w:r>
      <w:r>
        <w:rPr>
          <w:rFonts w:ascii="Arial" w:cs="Arial" w:eastAsia="Arial" w:hAnsi="Arial"/>
          <w:sz w:val="18"/>
          <w:szCs w:val="18"/>
          <w:color w:val="auto"/>
        </w:rPr>
        <w:t>] or at any other address previously furnished in writing to the Company by the Trustee, Attention: [</w:t>
      </w:r>
      <w:r>
        <w:rPr>
          <w:sz w:val="20"/>
          <w:szCs w:val="20"/>
          <w:color w:val="auto"/>
        </w:rPr>
        <w:tab/>
      </w:r>
      <w:r>
        <w:rPr>
          <w:rFonts w:ascii="Arial" w:cs="Arial" w:eastAsia="Arial" w:hAnsi="Arial"/>
          <w:sz w:val="17"/>
          <w:szCs w:val="17"/>
          <w:color w:val="auto"/>
        </w:rPr>
        <w:t>]; or</w:t>
      </w:r>
    </w:p>
    <w:p>
      <w:pPr>
        <w:spacing w:after="0" w:line="211" w:lineRule="exact"/>
        <w:rPr>
          <w:sz w:val="20"/>
          <w:szCs w:val="20"/>
          <w:color w:val="auto"/>
        </w:rPr>
      </w:pPr>
    </w:p>
    <w:p>
      <w:pPr>
        <w:jc w:val="both"/>
        <w:ind w:left="440" w:right="120" w:firstLine="449"/>
        <w:spacing w:after="0" w:line="291" w:lineRule="auto"/>
        <w:tabs>
          <w:tab w:leader="none" w:pos="113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w:t>
      </w:r>
    </w:p>
    <w:p>
      <w:pPr>
        <w:ind w:left="440"/>
        <w:spacing w:after="0"/>
        <w:tabs>
          <w:tab w:leader="none" w:pos="9100" w:val="left"/>
        </w:tabs>
        <w:rPr>
          <w:sz w:val="20"/>
          <w:szCs w:val="20"/>
          <w:color w:val="auto"/>
        </w:rPr>
      </w:pPr>
      <w:r>
        <w:rPr>
          <w:rFonts w:ascii="Arial" w:cs="Arial" w:eastAsia="Arial" w:hAnsi="Arial"/>
          <w:sz w:val="18"/>
          <w:szCs w:val="18"/>
          <w:color w:val="auto"/>
        </w:rPr>
        <w:t>this Indenture or at any other address previously furnished in writing to the Trustee by the Company, Attention: [</w:t>
      </w:r>
      <w:r>
        <w:rPr>
          <w:sz w:val="20"/>
          <w:szCs w:val="20"/>
          <w:color w:val="auto"/>
        </w:rPr>
        <w:tab/>
      </w:r>
      <w:r>
        <w:rPr>
          <w:rFonts w:ascii="Arial" w:cs="Arial" w:eastAsia="Arial" w:hAnsi="Arial"/>
          <w:sz w:val="17"/>
          <w:szCs w:val="17"/>
          <w:color w:val="auto"/>
        </w:rPr>
        <w:t>]; or</w:t>
      </w:r>
    </w:p>
    <w:p>
      <w:pPr>
        <w:spacing w:after="0" w:line="211" w:lineRule="exact"/>
        <w:rPr>
          <w:sz w:val="20"/>
          <w:szCs w:val="20"/>
          <w:color w:val="auto"/>
        </w:rPr>
      </w:pPr>
    </w:p>
    <w:p>
      <w:pPr>
        <w:ind w:left="440" w:right="220" w:firstLine="449"/>
        <w:spacing w:after="0" w:line="291" w:lineRule="auto"/>
        <w:tabs>
          <w:tab w:leader="none" w:pos="1136" w:val="left"/>
        </w:tabs>
        <w:numPr>
          <w:ilvl w:val="0"/>
          <w:numId w:val="61"/>
        </w:numPr>
        <w:rPr>
          <w:rFonts w:ascii="Arial" w:cs="Arial" w:eastAsia="Arial" w:hAnsi="Arial"/>
          <w:sz w:val="16"/>
          <w:szCs w:val="16"/>
          <w:color w:val="auto"/>
        </w:rPr>
      </w:pPr>
      <w:r>
        <w:rPr>
          <w:rFonts w:ascii="Arial" w:cs="Arial" w:eastAsia="Arial" w:hAnsi="Arial"/>
          <w:sz w:val="16"/>
          <w:szCs w:val="16"/>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w:t>
      </w:r>
    </w:p>
    <w:p>
      <w:pPr>
        <w:ind w:left="440"/>
        <w:spacing w:after="0"/>
        <w:tabs>
          <w:tab w:leader="none" w:pos="1620" w:val="left"/>
          <w:tab w:leader="none" w:pos="5500" w:val="left"/>
        </w:tabs>
        <w:rPr>
          <w:sz w:val="20"/>
          <w:szCs w:val="20"/>
          <w:color w:val="auto"/>
        </w:rPr>
      </w:pPr>
      <w:r>
        <w:rPr>
          <w:rFonts w:ascii="Arial" w:cs="Arial" w:eastAsia="Arial" w:hAnsi="Arial"/>
          <w:sz w:val="18"/>
          <w:szCs w:val="18"/>
          <w:color w:val="auto"/>
        </w:rPr>
        <w:t>number [</w:t>
      </w:r>
      <w:r>
        <w:rPr>
          <w:sz w:val="20"/>
          <w:szCs w:val="20"/>
          <w:color w:val="auto"/>
        </w:rPr>
        <w:tab/>
      </w:r>
      <w:r>
        <w:rPr>
          <w:rFonts w:ascii="Arial" w:cs="Arial" w:eastAsia="Arial" w:hAnsi="Arial"/>
          <w:sz w:val="18"/>
          <w:szCs w:val="18"/>
          <w:color w:val="auto"/>
        </w:rPr>
        <w:t>]; and if to the Company at facsimile number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6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1"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73"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w:t>
      </w:r>
    </w:p>
    <w:p>
      <w:pPr>
        <w:sectPr>
          <w:pgSz w:w="11900" w:h="16838" w:orient="portrait"/>
          <w:cols w:equalWidth="0" w:num="1">
            <w:col w:w="11420"/>
          </w:cols>
          <w:pgMar w:left="240" w:top="125" w:right="239" w:bottom="0" w:gutter="0" w:footer="0" w:header="0"/>
        </w:sectPr>
      </w:pPr>
    </w:p>
    <w:bookmarkStart w:id="58" w:name="page59"/>
    <w:bookmarkEnd w:id="58"/>
    <w:p>
      <w:pPr>
        <w:ind w:right="380"/>
        <w:spacing w:after="0" w:line="342" w:lineRule="auto"/>
        <w:rPr>
          <w:sz w:val="20"/>
          <w:szCs w:val="20"/>
          <w:color w:val="auto"/>
        </w:rPr>
      </w:pPr>
      <w:r>
        <w:rPr>
          <w:rFonts w:ascii="Arial" w:cs="Arial" w:eastAsia="Arial" w:hAnsi="Arial"/>
          <w:sz w:val="16"/>
          <w:szCs w:val="16"/>
          <w:color w:val="auto"/>
        </w:rPr>
        <w:t>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24"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1"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Counterparts; Effect of Headings and Table of Contents</w:t>
      </w:r>
      <w:r>
        <w:rPr>
          <w:rFonts w:ascii="Arial" w:cs="Arial" w:eastAsia="Arial" w:hAnsi="Arial"/>
          <w:sz w:val="17"/>
          <w:szCs w:val="17"/>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66"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1"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81" w:lineRule="exact"/>
        <w:rPr>
          <w:sz w:val="20"/>
          <w:szCs w:val="20"/>
          <w:color w:val="auto"/>
        </w:rPr>
      </w:pPr>
    </w:p>
    <w:p>
      <w:pPr>
        <w:ind w:right="100" w:firstLine="441"/>
        <w:spacing w:after="0" w:line="289"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Legal Holidays</w:t>
      </w:r>
      <w:r>
        <w:rPr>
          <w:rFonts w:ascii="Arial" w:cs="Arial" w:eastAsia="Arial" w:hAnsi="Arial"/>
          <w:sz w:val="16"/>
          <w:szCs w:val="16"/>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6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Limited Liability; Immunity of Stockholders, Directors, Officers and Agents of the Company</w:t>
      </w:r>
      <w:r>
        <w:rPr>
          <w:rFonts w:ascii="Arial" w:cs="Arial" w:eastAsia="Arial" w:hAnsi="Arial"/>
          <w:sz w:val="16"/>
          <w:szCs w:val="16"/>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73"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modified or excluded, the latter provision shall be deemed to apply to this Indenture as so modified or to be excluded, as the case may be.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TWO - SECURITIES FORMS</w:t>
      </w:r>
    </w:p>
    <w:p>
      <w:pPr>
        <w:spacing w:after="0" w:line="225"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Forms of Securities</w:t>
      </w:r>
      <w:r>
        <w:rPr>
          <w:rFonts w:ascii="Arial" w:cs="Arial" w:eastAsia="Arial" w:hAnsi="Arial"/>
          <w:sz w:val="16"/>
          <w:szCs w:val="16"/>
          <w:color w:val="auto"/>
        </w:rPr>
        <w:t xml:space="preserve">. The Registered Securities, if any, of each series and the Bearer Securities, if any, of each series and related coupons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ectPr>
          <w:pgSz w:w="11900" w:h="16838" w:orient="portrait"/>
          <w:cols w:equalWidth="0" w:num="1">
            <w:col w:w="11400"/>
          </w:cols>
          <w:pgMar w:left="240" w:top="125" w:right="259" w:bottom="0" w:gutter="0" w:footer="0" w:header="0"/>
        </w:sectPr>
      </w:pPr>
    </w:p>
    <w:bookmarkStart w:id="59" w:name="page60"/>
    <w:bookmarkEnd w:id="59"/>
    <w:p>
      <w:pPr>
        <w:ind w:right="120" w:firstLine="441"/>
        <w:spacing w:after="0" w:line="264" w:lineRule="auto"/>
        <w:rPr>
          <w:sz w:val="20"/>
          <w:szCs w:val="20"/>
          <w:color w:val="auto"/>
        </w:rPr>
      </w:pPr>
      <w:r>
        <w:rPr>
          <w:rFonts w:ascii="Arial" w:cs="Arial" w:eastAsia="Arial" w:hAnsi="Arial"/>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81" w:lineRule="exact"/>
        <w:rPr>
          <w:sz w:val="20"/>
          <w:szCs w:val="20"/>
          <w:color w:val="auto"/>
        </w:rPr>
      </w:pPr>
    </w:p>
    <w:p>
      <w:pPr>
        <w:ind w:right="880" w:firstLine="441"/>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Subject to Section 611, the Trustee’s certificate of authentication shall be in substantially the following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67748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pacing w:after="0" w:line="204"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Securities Issuable in Global Form</w:t>
      </w:r>
      <w:r>
        <w:rPr>
          <w:rFonts w:ascii="Arial" w:cs="Arial" w:eastAsia="Arial" w:hAnsi="Arial"/>
          <w:sz w:val="16"/>
          <w:szCs w:val="16"/>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73"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reduction in the principal amount of Securities represented thereby, together with the written statement contemplated by the last sentence of Section 303.</w:t>
      </w:r>
    </w:p>
    <w:p>
      <w:pPr>
        <w:spacing w:after="0" w:line="248"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47"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Global Security authenticated and delivered hereunder shall bear a legend in substantially the following form:</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THREE - THE SECURITIES</w:t>
      </w:r>
    </w:p>
    <w:p>
      <w:pPr>
        <w:spacing w:after="0" w:line="225" w:lineRule="exact"/>
        <w:rPr>
          <w:sz w:val="20"/>
          <w:szCs w:val="20"/>
          <w:color w:val="auto"/>
        </w:rPr>
      </w:pPr>
    </w:p>
    <w:p>
      <w:pPr>
        <w:jc w:val="both"/>
        <w:ind w:right="220" w:firstLine="441"/>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jc w:val="both"/>
        <w:ind w:right="220" w:firstLine="441"/>
        <w:spacing w:after="0" w:line="312" w:lineRule="auto"/>
        <w:rPr>
          <w:sz w:val="20"/>
          <w:szCs w:val="20"/>
          <w:color w:val="auto"/>
        </w:rPr>
      </w:pPr>
      <w:r>
        <w:rPr>
          <w:rFonts w:ascii="Arial" w:cs="Arial" w:eastAsia="Arial" w:hAnsi="Arial"/>
          <w:sz w:val="16"/>
          <w:szCs w:val="16"/>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47" w:lineRule="exact"/>
        <w:rPr>
          <w:sz w:val="20"/>
          <w:szCs w:val="20"/>
          <w:color w:val="auto"/>
        </w:rPr>
      </w:pPr>
    </w:p>
    <w:p>
      <w:pPr>
        <w:ind w:left="440" w:right="100" w:firstLine="449"/>
        <w:spacing w:after="0" w:line="277" w:lineRule="auto"/>
        <w:tabs>
          <w:tab w:leader="none" w:pos="11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170" w:lineRule="exact"/>
        <w:rPr>
          <w:rFonts w:ascii="Arial" w:cs="Arial" w:eastAsia="Arial" w:hAnsi="Arial"/>
          <w:sz w:val="18"/>
          <w:szCs w:val="18"/>
          <w:color w:val="auto"/>
        </w:rPr>
      </w:pPr>
    </w:p>
    <w:p>
      <w:pPr>
        <w:ind w:left="440" w:right="60" w:firstLine="449"/>
        <w:spacing w:after="0" w:line="259" w:lineRule="auto"/>
        <w:tabs>
          <w:tab w:leader="none" w:pos="112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186" w:lineRule="exact"/>
        <w:rPr>
          <w:rFonts w:ascii="Arial" w:cs="Arial" w:eastAsia="Arial" w:hAnsi="Arial"/>
          <w:sz w:val="18"/>
          <w:szCs w:val="18"/>
          <w:color w:val="auto"/>
        </w:rPr>
      </w:pPr>
    </w:p>
    <w:p>
      <w:pPr>
        <w:ind w:left="440" w:firstLine="449"/>
        <w:spacing w:after="0" w:line="259" w:lineRule="auto"/>
        <w:tabs>
          <w:tab w:leader="none" w:pos="11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Preferred Stock or the method by which any such portion shall be determined;</w:t>
      </w:r>
    </w:p>
    <w:p>
      <w:pPr>
        <w:sectPr>
          <w:pgSz w:w="11900" w:h="16838" w:orient="portrait"/>
          <w:cols w:equalWidth="0" w:num="1">
            <w:col w:w="11420"/>
          </w:cols>
          <w:pgMar w:left="240" w:top="125" w:right="239" w:bottom="48" w:gutter="0" w:footer="0" w:header="0"/>
        </w:sectPr>
      </w:pPr>
    </w:p>
    <w:bookmarkStart w:id="60" w:name="page61"/>
    <w:bookmarkEnd w:id="60"/>
    <w:p>
      <w:pPr>
        <w:spacing w:after="0" w:line="76" w:lineRule="exact"/>
        <w:rPr>
          <w:sz w:val="20"/>
          <w:szCs w:val="20"/>
          <w:color w:val="auto"/>
        </w:rPr>
      </w:pPr>
    </w:p>
    <w:p>
      <w:pPr>
        <w:ind w:right="100" w:firstLine="449"/>
        <w:spacing w:after="0" w:line="308" w:lineRule="auto"/>
        <w:tabs>
          <w:tab w:leader="none" w:pos="6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46" w:lineRule="exact"/>
        <w:rPr>
          <w:rFonts w:ascii="Arial" w:cs="Arial" w:eastAsia="Arial" w:hAnsi="Arial"/>
          <w:sz w:val="17"/>
          <w:szCs w:val="17"/>
          <w:color w:val="auto"/>
        </w:rPr>
      </w:pPr>
    </w:p>
    <w:p>
      <w:pPr>
        <w:ind w:left="700" w:hanging="251"/>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on which the principal of such Securities will be payable;</w:t>
      </w:r>
    </w:p>
    <w:p>
      <w:pPr>
        <w:spacing w:after="0" w:line="225" w:lineRule="exact"/>
        <w:rPr>
          <w:rFonts w:ascii="Arial" w:cs="Arial" w:eastAsia="Arial" w:hAnsi="Arial"/>
          <w:sz w:val="18"/>
          <w:szCs w:val="18"/>
          <w:color w:val="auto"/>
        </w:rPr>
      </w:pPr>
    </w:p>
    <w:p>
      <w:pPr>
        <w:ind w:firstLine="449"/>
        <w:spacing w:after="0" w:line="277" w:lineRule="auto"/>
        <w:tabs>
          <w:tab w:leader="none" w:pos="6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or the method by which such rate or rates shall be determined, at which such Securities will bear interest, if any;</w:t>
      </w:r>
    </w:p>
    <w:p>
      <w:pPr>
        <w:spacing w:after="0" w:line="170" w:lineRule="exact"/>
        <w:rPr>
          <w:rFonts w:ascii="Arial" w:cs="Arial" w:eastAsia="Arial" w:hAnsi="Arial"/>
          <w:sz w:val="18"/>
          <w:szCs w:val="18"/>
          <w:color w:val="auto"/>
        </w:rPr>
      </w:pPr>
    </w:p>
    <w:p>
      <w:pPr>
        <w:ind w:right="160" w:firstLine="449"/>
        <w:spacing w:after="0" w:line="277" w:lineRule="auto"/>
        <w:tabs>
          <w:tab w:leader="none" w:pos="6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or the method by which such dates shall be determined, the Persons to whom such interest shall be payable, and the basis upon which interest shall be calculated if other than that of a 360-day year of twelve 30-day months;</w:t>
      </w:r>
    </w:p>
    <w:p>
      <w:pPr>
        <w:spacing w:after="0" w:line="170" w:lineRule="exact"/>
        <w:rPr>
          <w:sz w:val="20"/>
          <w:szCs w:val="20"/>
          <w:color w:val="auto"/>
        </w:rPr>
      </w:pPr>
    </w:p>
    <w:p>
      <w:pPr>
        <w:ind w:right="240" w:firstLine="449"/>
        <w:spacing w:after="0" w:line="277" w:lineRule="auto"/>
        <w:tabs>
          <w:tab w:leader="none" w:pos="6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Make-Whole Amount, if any, or method for determining the Make-Whole Amount, if any, payable with respect to such Securities, and the terms upon which such amount, if any, will be payable;</w:t>
      </w:r>
    </w:p>
    <w:p>
      <w:pPr>
        <w:spacing w:after="0" w:line="170" w:lineRule="exact"/>
        <w:rPr>
          <w:rFonts w:ascii="Arial" w:cs="Arial" w:eastAsia="Arial" w:hAnsi="Arial"/>
          <w:sz w:val="18"/>
          <w:szCs w:val="18"/>
          <w:color w:val="auto"/>
        </w:rPr>
      </w:pPr>
    </w:p>
    <w:p>
      <w:pPr>
        <w:ind w:right="140" w:firstLine="449"/>
        <w:spacing w:after="0" w:line="264" w:lineRule="auto"/>
        <w:tabs>
          <w:tab w:leader="none" w:pos="6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181" w:lineRule="exact"/>
        <w:rPr>
          <w:rFonts w:ascii="Arial" w:cs="Arial" w:eastAsia="Arial" w:hAnsi="Arial"/>
          <w:sz w:val="18"/>
          <w:szCs w:val="18"/>
          <w:color w:val="auto"/>
        </w:rPr>
      </w:pPr>
    </w:p>
    <w:p>
      <w:pPr>
        <w:ind w:right="100" w:firstLine="449"/>
        <w:spacing w:after="0" w:line="308" w:lineRule="auto"/>
        <w:tabs>
          <w:tab w:leader="none" w:pos="78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46" w:lineRule="exact"/>
        <w:rPr>
          <w:rFonts w:ascii="Arial" w:cs="Arial" w:eastAsia="Arial" w:hAnsi="Arial"/>
          <w:sz w:val="17"/>
          <w:szCs w:val="17"/>
          <w:color w:val="auto"/>
        </w:rPr>
      </w:pPr>
    </w:p>
    <w:p>
      <w:pPr>
        <w:ind w:right="120" w:firstLine="449"/>
        <w:spacing w:after="0" w:line="286" w:lineRule="auto"/>
        <w:tabs>
          <w:tab w:leader="none" w:pos="779"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65" w:lineRule="exact"/>
        <w:rPr>
          <w:rFonts w:ascii="Arial" w:cs="Arial" w:eastAsia="Arial" w:hAnsi="Arial"/>
          <w:sz w:val="17"/>
          <w:szCs w:val="17"/>
          <w:color w:val="auto"/>
        </w:rPr>
      </w:pPr>
    </w:p>
    <w:p>
      <w:pPr>
        <w:ind w:right="60" w:firstLine="449"/>
        <w:spacing w:after="0" w:line="264" w:lineRule="auto"/>
        <w:tabs>
          <w:tab w:leader="none" w:pos="786"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81" w:lineRule="exact"/>
        <w:rPr>
          <w:rFonts w:ascii="Arial" w:cs="Arial" w:eastAsia="Arial" w:hAnsi="Arial"/>
          <w:sz w:val="18"/>
          <w:szCs w:val="18"/>
          <w:color w:val="auto"/>
        </w:rPr>
      </w:pPr>
    </w:p>
    <w:p>
      <w:pPr>
        <w:jc w:val="both"/>
        <w:ind w:right="40" w:firstLine="449"/>
        <w:spacing w:after="0" w:line="279" w:lineRule="auto"/>
        <w:tabs>
          <w:tab w:leader="none" w:pos="786" w:val="left"/>
        </w:tabs>
        <w:numPr>
          <w:ilvl w:val="0"/>
          <w:numId w:val="64"/>
        </w:numPr>
        <w:rPr>
          <w:rFonts w:ascii="Arial" w:cs="Arial" w:eastAsia="Arial" w:hAnsi="Arial"/>
          <w:sz w:val="17"/>
          <w:szCs w:val="17"/>
          <w:color w:val="auto"/>
        </w:rPr>
      </w:pPr>
      <w:r>
        <w:rPr>
          <w:rFonts w:ascii="Arial" w:cs="Arial" w:eastAsia="Arial" w:hAnsi="Arial"/>
          <w:sz w:val="17"/>
          <w:szCs w:val="17"/>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71" w:lineRule="exact"/>
        <w:rPr>
          <w:rFonts w:ascii="Arial" w:cs="Arial" w:eastAsia="Arial" w:hAnsi="Arial"/>
          <w:sz w:val="17"/>
          <w:szCs w:val="17"/>
          <w:color w:val="auto"/>
        </w:rPr>
      </w:pPr>
    </w:p>
    <w:p>
      <w:pPr>
        <w:ind w:right="60" w:firstLine="449"/>
        <w:spacing w:after="0" w:line="293" w:lineRule="auto"/>
        <w:tabs>
          <w:tab w:leader="none" w:pos="786" w:val="left"/>
        </w:tabs>
        <w:numPr>
          <w:ilvl w:val="0"/>
          <w:numId w:val="64"/>
        </w:numPr>
        <w:rPr>
          <w:rFonts w:ascii="Arial" w:cs="Arial" w:eastAsia="Arial" w:hAnsi="Arial"/>
          <w:sz w:val="16"/>
          <w:szCs w:val="16"/>
          <w:color w:val="auto"/>
        </w:rPr>
      </w:pPr>
      <w:r>
        <w:rPr>
          <w:rFonts w:ascii="Arial" w:cs="Arial" w:eastAsia="Arial" w:hAnsi="Arial"/>
          <w:sz w:val="16"/>
          <w:szCs w:val="16"/>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64" w:lineRule="exact"/>
        <w:rPr>
          <w:rFonts w:ascii="Arial" w:cs="Arial" w:eastAsia="Arial" w:hAnsi="Arial"/>
          <w:sz w:val="16"/>
          <w:szCs w:val="16"/>
          <w:color w:val="auto"/>
        </w:rPr>
      </w:pPr>
    </w:p>
    <w:p>
      <w:pPr>
        <w:ind w:left="800" w:hanging="351"/>
        <w:spacing w:after="0"/>
        <w:tabs>
          <w:tab w:leader="none" w:pos="8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Provisions, if any, granting special rights to the Holders of Securities of the series upon the occurrence of such events as may be specified;</w:t>
      </w:r>
    </w:p>
    <w:p>
      <w:pPr>
        <w:spacing w:after="0" w:line="248" w:lineRule="exact"/>
        <w:rPr>
          <w:rFonts w:ascii="Arial" w:cs="Arial" w:eastAsia="Arial" w:hAnsi="Arial"/>
          <w:sz w:val="16"/>
          <w:szCs w:val="16"/>
          <w:color w:val="auto"/>
        </w:rPr>
      </w:pPr>
    </w:p>
    <w:p>
      <w:pPr>
        <w:ind w:right="340" w:firstLine="449"/>
        <w:spacing w:after="0" w:line="308" w:lineRule="auto"/>
        <w:tabs>
          <w:tab w:leader="none" w:pos="786"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146" w:lineRule="exact"/>
        <w:rPr>
          <w:rFonts w:ascii="Arial" w:cs="Arial" w:eastAsia="Arial" w:hAnsi="Arial"/>
          <w:sz w:val="17"/>
          <w:szCs w:val="17"/>
          <w:color w:val="auto"/>
        </w:rPr>
      </w:pPr>
    </w:p>
    <w:p>
      <w:pPr>
        <w:ind w:right="20" w:firstLine="449"/>
        <w:spacing w:after="0" w:line="342" w:lineRule="auto"/>
        <w:tabs>
          <w:tab w:leader="none" w:pos="786" w:val="left"/>
        </w:tabs>
        <w:numPr>
          <w:ilvl w:val="0"/>
          <w:numId w:val="64"/>
        </w:numPr>
        <w:rPr>
          <w:rFonts w:ascii="Arial" w:cs="Arial" w:eastAsia="Arial" w:hAnsi="Arial"/>
          <w:sz w:val="16"/>
          <w:szCs w:val="16"/>
          <w:color w:val="auto"/>
        </w:rPr>
      </w:pPr>
      <w:r>
        <w:rPr>
          <w:rFonts w:ascii="Arial" w:cs="Arial" w:eastAsia="Arial" w:hAnsi="Arial"/>
          <w:sz w:val="16"/>
          <w:szCs w:val="16"/>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23" w:lineRule="exact"/>
        <w:rPr>
          <w:rFonts w:ascii="Arial" w:cs="Arial" w:eastAsia="Arial" w:hAnsi="Arial"/>
          <w:sz w:val="16"/>
          <w:szCs w:val="16"/>
          <w:color w:val="auto"/>
        </w:rPr>
      </w:pPr>
    </w:p>
    <w:p>
      <w:pPr>
        <w:ind w:right="40" w:firstLine="449"/>
        <w:spacing w:after="0" w:line="271" w:lineRule="auto"/>
        <w:tabs>
          <w:tab w:leader="none" w:pos="786" w:val="left"/>
        </w:tabs>
        <w:numPr>
          <w:ilvl w:val="0"/>
          <w:numId w:val="64"/>
        </w:numPr>
        <w:rPr>
          <w:rFonts w:ascii="Arial" w:cs="Arial" w:eastAsia="Arial" w:hAnsi="Arial"/>
          <w:sz w:val="17"/>
          <w:szCs w:val="17"/>
          <w:color w:val="auto"/>
        </w:rPr>
      </w:pPr>
      <w:r>
        <w:rPr>
          <w:rFonts w:ascii="Arial" w:cs="Arial" w:eastAsia="Arial" w:hAnsi="Arial"/>
          <w:sz w:val="17"/>
          <w:szCs w:val="17"/>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1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449"/>
        <w:spacing w:after="0" w:line="277" w:lineRule="auto"/>
        <w:tabs>
          <w:tab w:leader="none" w:pos="78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70" w:lineRule="exact"/>
        <w:rPr>
          <w:rFonts w:ascii="Arial" w:cs="Arial" w:eastAsia="Arial" w:hAnsi="Arial"/>
          <w:sz w:val="18"/>
          <w:szCs w:val="18"/>
          <w:color w:val="auto"/>
        </w:rPr>
      </w:pPr>
    </w:p>
    <w:p>
      <w:pPr>
        <w:ind w:right="20" w:firstLine="449"/>
        <w:spacing w:after="0" w:line="297" w:lineRule="auto"/>
        <w:tabs>
          <w:tab w:leader="none" w:pos="786"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each case, that the manner of</w:t>
      </w:r>
    </w:p>
    <w:p>
      <w:pPr>
        <w:sectPr>
          <w:pgSz w:w="11900" w:h="16914" w:orient="portrait"/>
          <w:cols w:equalWidth="0" w:num="1">
            <w:col w:w="10960"/>
          </w:cols>
          <w:pgMar w:left="680" w:top="125" w:right="259" w:bottom="0" w:gutter="0" w:footer="0" w:header="0"/>
        </w:sectPr>
      </w:pPr>
    </w:p>
    <w:bookmarkStart w:id="61" w:name="page62"/>
    <w:bookmarkEnd w:id="61"/>
    <w:p>
      <w:pPr>
        <w:spacing w:after="0" w:line="47"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determining such Person or making such payment shall be acceptable to the Trustee (as not imposing on it any undue administrative burden or risk of liability);</w:t>
      </w:r>
    </w:p>
    <w:p>
      <w:pPr>
        <w:spacing w:after="0" w:line="170" w:lineRule="exact"/>
        <w:rPr>
          <w:sz w:val="20"/>
          <w:szCs w:val="20"/>
          <w:color w:val="auto"/>
        </w:rPr>
      </w:pPr>
    </w:p>
    <w:p>
      <w:pPr>
        <w:ind w:left="1240" w:hanging="351"/>
        <w:spacing w:after="0"/>
        <w:tabs>
          <w:tab w:leader="none" w:pos="1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of Article Fourteen hereof to the Securities of the series;</w:t>
      </w:r>
    </w:p>
    <w:p>
      <w:pPr>
        <w:spacing w:after="0" w:line="248" w:lineRule="exact"/>
        <w:rPr>
          <w:rFonts w:ascii="Arial" w:cs="Arial" w:eastAsia="Arial" w:hAnsi="Arial"/>
          <w:sz w:val="16"/>
          <w:szCs w:val="16"/>
          <w:color w:val="auto"/>
        </w:rPr>
      </w:pPr>
    </w:p>
    <w:p>
      <w:pPr>
        <w:ind w:left="440" w:right="140" w:firstLine="449"/>
        <w:spacing w:after="0" w:line="259" w:lineRule="auto"/>
        <w:tabs>
          <w:tab w:leader="none" w:pos="12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86" w:lineRule="exact"/>
        <w:rPr>
          <w:rFonts w:ascii="Arial" w:cs="Arial" w:eastAsia="Arial" w:hAnsi="Arial"/>
          <w:sz w:val="18"/>
          <w:szCs w:val="18"/>
          <w:color w:val="auto"/>
        </w:rPr>
      </w:pPr>
    </w:p>
    <w:p>
      <w:pPr>
        <w:ind w:left="440" w:right="20" w:firstLine="449"/>
        <w:spacing w:after="0" w:line="264" w:lineRule="auto"/>
        <w:tabs>
          <w:tab w:leader="none" w:pos="12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81" w:lineRule="exact"/>
        <w:rPr>
          <w:rFonts w:ascii="Arial" w:cs="Arial" w:eastAsia="Arial" w:hAnsi="Arial"/>
          <w:sz w:val="18"/>
          <w:szCs w:val="18"/>
          <w:color w:val="auto"/>
        </w:rPr>
      </w:pPr>
    </w:p>
    <w:p>
      <w:pPr>
        <w:ind w:left="440" w:right="360" w:firstLine="449"/>
        <w:spacing w:after="0" w:line="308" w:lineRule="auto"/>
        <w:tabs>
          <w:tab w:leader="none" w:pos="1226" w:val="left"/>
        </w:tabs>
        <w:numPr>
          <w:ilvl w:val="0"/>
          <w:numId w:val="66"/>
        </w:numPr>
        <w:rPr>
          <w:rFonts w:ascii="Arial" w:cs="Arial" w:eastAsia="Arial" w:hAnsi="Arial"/>
          <w:sz w:val="17"/>
          <w:szCs w:val="17"/>
          <w:color w:val="auto"/>
        </w:rPr>
      </w:pPr>
      <w:r>
        <w:rPr>
          <w:rFonts w:ascii="Arial" w:cs="Arial" w:eastAsia="Arial" w:hAnsi="Arial"/>
          <w:sz w:val="17"/>
          <w:szCs w:val="17"/>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46" w:lineRule="exact"/>
        <w:rPr>
          <w:rFonts w:ascii="Arial" w:cs="Arial" w:eastAsia="Arial" w:hAnsi="Arial"/>
          <w:sz w:val="17"/>
          <w:szCs w:val="17"/>
          <w:color w:val="auto"/>
        </w:rPr>
      </w:pPr>
    </w:p>
    <w:p>
      <w:pPr>
        <w:ind w:left="1240" w:hanging="35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w:t>
      </w:r>
    </w:p>
    <w:p>
      <w:pPr>
        <w:spacing w:after="0" w:line="225" w:lineRule="exact"/>
        <w:rPr>
          <w:sz w:val="20"/>
          <w:szCs w:val="20"/>
          <w:color w:val="auto"/>
        </w:rPr>
      </w:pPr>
    </w:p>
    <w:p>
      <w:pPr>
        <w:jc w:val="both"/>
        <w:ind w:right="160" w:firstLine="441"/>
        <w:spacing w:after="0" w:line="302" w:lineRule="auto"/>
        <w:rPr>
          <w:sz w:val="20"/>
          <w:szCs w:val="20"/>
          <w:color w:val="auto"/>
        </w:rPr>
      </w:pPr>
      <w:r>
        <w:rPr>
          <w:rFonts w:ascii="Arial" w:cs="Arial" w:eastAsia="Arial" w:hAnsi="Arial"/>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4"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Denominations</w:t>
      </w:r>
      <w:r>
        <w:rPr>
          <w:rFonts w:ascii="Arial" w:cs="Arial" w:eastAsia="Arial" w:hAnsi="Arial"/>
          <w:sz w:val="17"/>
          <w:szCs w:val="17"/>
          <w:color w:val="auto"/>
        </w:rPr>
        <w:t>. The Securities of each series shall be issuable in such denominations as shall be specified as contemplated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301. With respect to Securities of any series denominated in Dollars, in the absence of any such provisions with respect to the Securities of any series,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of such series, other than Global Securities (which may be of any denomination), shall be issuable in denominations of $1,000 and any integral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multiple thereof or the equivalent amounts thereof in the case of Securities denominated in the Foreign Currency or currency unit.</w:t>
      </w:r>
    </w:p>
    <w:p>
      <w:pPr>
        <w:spacing w:after="0" w:line="21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Execution, Authentication, Delivery and Dating</w:t>
      </w:r>
      <w:r>
        <w:rPr>
          <w:rFonts w:ascii="Arial" w:cs="Arial" w:eastAsia="Arial" w:hAnsi="Arial"/>
          <w:sz w:val="17"/>
          <w:szCs w:val="17"/>
          <w:color w:val="auto"/>
        </w:rPr>
        <w:t>. The Securities and any coupons appertaining thereto shall be executed on behalf of the Company by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7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connection with its original issuance, no Bearer Security shall be mailed or otherwise delivered to any location in the United States;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72"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73" w:lineRule="exact"/>
        <w:rPr>
          <w:sz w:val="20"/>
          <w:szCs w:val="20"/>
          <w:color w:val="auto"/>
        </w:rPr>
      </w:pPr>
    </w:p>
    <w:p>
      <w:pPr>
        <w:ind w:left="1540" w:hanging="210"/>
        <w:spacing w:after="0"/>
        <w:tabs>
          <w:tab w:leader="none" w:pos="1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Opinion of Counsel stating that</w:t>
      </w:r>
    </w:p>
    <w:p>
      <w:pPr>
        <w:spacing w:after="0" w:line="225" w:lineRule="exact"/>
        <w:rPr>
          <w:rFonts w:ascii="Arial" w:cs="Arial" w:eastAsia="Arial" w:hAnsi="Arial"/>
          <w:sz w:val="18"/>
          <w:szCs w:val="18"/>
          <w:color w:val="auto"/>
        </w:rPr>
      </w:pPr>
    </w:p>
    <w:p>
      <w:pPr>
        <w:ind w:left="2120" w:hanging="239"/>
        <w:spacing w:after="0"/>
        <w:tabs>
          <w:tab w:leader="none" w:pos="21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form or forms of such Securities and any coupons have been established in conformity with the provisions of this Indenture;</w:t>
      </w:r>
    </w:p>
    <w:p>
      <w:pPr>
        <w:spacing w:after="0" w:line="248" w:lineRule="exact"/>
        <w:rPr>
          <w:rFonts w:ascii="Arial" w:cs="Arial" w:eastAsia="Arial" w:hAnsi="Arial"/>
          <w:sz w:val="16"/>
          <w:szCs w:val="16"/>
          <w:color w:val="auto"/>
        </w:rPr>
      </w:pPr>
    </w:p>
    <w:p>
      <w:pPr>
        <w:ind w:left="2140" w:hanging="259"/>
        <w:spacing w:after="0"/>
        <w:tabs>
          <w:tab w:leader="none" w:pos="21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terms of such Securities and any coupons have been established in conformity with the provisions of this Indenture; and</w:t>
      </w:r>
    </w:p>
    <w:p>
      <w:pPr>
        <w:spacing w:after="0" w:line="248" w:lineRule="exact"/>
        <w:rPr>
          <w:rFonts w:ascii="Arial" w:cs="Arial" w:eastAsia="Arial" w:hAnsi="Arial"/>
          <w:sz w:val="16"/>
          <w:szCs w:val="16"/>
          <w:color w:val="auto"/>
        </w:rPr>
      </w:pPr>
    </w:p>
    <w:p>
      <w:pPr>
        <w:ind w:left="1440" w:right="120" w:firstLine="441"/>
        <w:spacing w:after="0" w:line="312" w:lineRule="auto"/>
        <w:tabs>
          <w:tab w:leader="none" w:pos="2126" w:val="left"/>
        </w:tabs>
        <w:numPr>
          <w:ilvl w:val="1"/>
          <w:numId w:val="67"/>
        </w:numPr>
        <w:rPr>
          <w:rFonts w:ascii="Arial" w:cs="Arial" w:eastAsia="Arial" w:hAnsi="Arial"/>
          <w:sz w:val="16"/>
          <w:szCs w:val="16"/>
          <w:color w:val="auto"/>
        </w:rPr>
      </w:pPr>
      <w:r>
        <w:rPr>
          <w:rFonts w:ascii="Arial" w:cs="Arial" w:eastAsia="Arial" w:hAnsi="Arial"/>
          <w:sz w:val="16"/>
          <w:szCs w:val="16"/>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w:t>
      </w:r>
    </w:p>
    <w:p>
      <w:pPr>
        <w:sectPr>
          <w:pgSz w:w="11900" w:h="16885" w:orient="portrait"/>
          <w:cols w:equalWidth="0" w:num="1">
            <w:col w:w="11400"/>
          </w:cols>
          <w:pgMar w:left="240" w:top="125" w:right="259" w:bottom="0" w:gutter="0" w:footer="0" w:header="0"/>
        </w:sectPr>
      </w:pPr>
    </w:p>
    <w:bookmarkStart w:id="62" w:name="page63"/>
    <w:bookmarkEnd w:id="62"/>
    <w:p>
      <w:pPr>
        <w:ind w:left="1440"/>
        <w:spacing w:after="0" w:line="264" w:lineRule="auto"/>
        <w:rPr>
          <w:sz w:val="20"/>
          <w:szCs w:val="20"/>
          <w:color w:val="auto"/>
        </w:rPr>
      </w:pPr>
      <w:r>
        <w:rPr>
          <w:rFonts w:ascii="Arial" w:cs="Arial" w:eastAsia="Arial" w:hAnsi="Arial"/>
          <w:sz w:val="18"/>
          <w:szCs w:val="18"/>
          <w:color w:val="auto"/>
        </w:rPr>
        <w:t>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181" w:lineRule="exact"/>
        <w:rPr>
          <w:sz w:val="20"/>
          <w:szCs w:val="20"/>
          <w:color w:val="auto"/>
        </w:rPr>
      </w:pPr>
    </w:p>
    <w:p>
      <w:pPr>
        <w:ind w:left="880" w:right="80" w:firstLine="450"/>
        <w:spacing w:after="0" w:line="264" w:lineRule="auto"/>
        <w:tabs>
          <w:tab w:leader="none" w:pos="158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66"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7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180" w:firstLine="889"/>
        <w:spacing w:after="0" w:line="255" w:lineRule="auto"/>
        <w:tabs>
          <w:tab w:leader="none" w:pos="11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93"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definitive Bearer Security shall be delivered in exchange for a temporary Registered Security;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73" w:lineRule="exact"/>
        <w:rPr>
          <w:sz w:val="20"/>
          <w:szCs w:val="20"/>
          <w:color w:val="auto"/>
        </w:rPr>
      </w:pPr>
    </w:p>
    <w:p>
      <w:pPr>
        <w:ind w:right="20" w:firstLine="889"/>
        <w:spacing w:after="0" w:line="276" w:lineRule="auto"/>
        <w:tabs>
          <w:tab w:leader="none" w:pos="1136" w:val="left"/>
        </w:tabs>
        <w:numPr>
          <w:ilvl w:val="0"/>
          <w:numId w:val="70"/>
        </w:numPr>
        <w:rPr>
          <w:rFonts w:ascii="Arial" w:cs="Arial" w:eastAsia="Arial" w:hAnsi="Arial"/>
          <w:sz w:val="17"/>
          <w:szCs w:val="17"/>
          <w:color w:val="auto"/>
        </w:rPr>
      </w:pPr>
      <w:r>
        <w:rPr>
          <w:rFonts w:ascii="Arial" w:cs="Arial" w:eastAsia="Arial" w:hAnsi="Arial"/>
          <w:sz w:val="17"/>
          <w:szCs w:val="17"/>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73"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63" w:name="page64"/>
    <w:bookmarkEnd w:id="63"/>
    <w:p>
      <w:pPr>
        <w:spacing w:after="0" w:line="2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(as directed by or pursuant to information provided by the Common Depository);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to this Indenture or in such other form as may be established pursuant to Section 301;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definitive Bearer Securities shall be delivered in exchange for a portion of a temporary Global Security only in compliance with the requirements of Section 303.</w:t>
      </w:r>
    </w:p>
    <w:p>
      <w:pPr>
        <w:spacing w:after="0" w:line="189"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Until exchanged in full as hereinabove provided, the temporary Securities of any series shall in all respects be entitled to the same benefits under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Indenture as definitive Securities of the same series and of like tenor authenticated and delivered hereunder, except that, unless otherwise specified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contemplated by Section 301, interest payable on a temporary Global Security on an Interest Payment Date for Securities of such series occurring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Exchange Date shall be payable to Euroclear and Clearstream on such Interest Payment Date upon delivery by Euroclear and Clearstream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Trustee of a certificate or certificates in the form set forth in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Indenture (or in such other forms as may be established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301), for credit without further interest on or after such Interest Payment Date to the respective accounts of Persons who are the beneficial owners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temporary Global Security on such Interest Payment Date and who have each delivered to Euroclear or Clearstream, as the case may be, a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dated no earlier than 15 days prior to the Interest Payment Date occurring prior to such Exchange Date in the form set forth as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 such other forms as may be established pursuant to Section 301). Notwithstanding anything to the contrary herein contained, the certifications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paragraph shall satisfy the certification requirements of the preceding two paragraphs of this Section 304(b) and of the third paragraph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303 of this Indenture and the interests of the Persons who are the beneficial owners of the temporary Global Security with respect to which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was made will be exchanged for definitive Securities of the same series and of like tenor on the Exchange Date or the date of certification if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occurs after the Exchange Date, without further act or deed by such beneficial owners. Except as otherwise provided in this paragraph, no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or interest owing with respect to a beneficial interest in a temporary Global Security will be made unless and until such interest in such temporary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Global Security shall have been exchanged for an interest in a definitive Security. Any interest so received by Euroclear and Clearstream and not paid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provided shall be returned to the Trustee prior to the expiration of two years after such Interest Payment Date in order to be repaid to the Company.</w:t>
      </w:r>
    </w:p>
    <w:p>
      <w:pPr>
        <w:spacing w:after="0" w:line="234"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 xml:space="preserve">With respect to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B-2</w:t>
      </w:r>
      <w:r>
        <w:rPr>
          <w:rFonts w:ascii="Arial" w:cs="Arial" w:eastAsia="Arial" w:hAnsi="Arial"/>
          <w:sz w:val="16"/>
          <w:szCs w:val="16"/>
          <w:color w:val="auto"/>
        </w:rPr>
        <w:t xml:space="preserve">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54"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Registration, Registration of Transfer, Conversion and Exchange</w:t>
      </w:r>
      <w:r>
        <w:rPr>
          <w:rFonts w:ascii="Arial" w:cs="Arial" w:eastAsia="Arial" w:hAnsi="Arial"/>
          <w:sz w:val="16"/>
          <w:szCs w:val="16"/>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70"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7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93"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w:t>
      </w:r>
    </w:p>
    <w:p>
      <w:pPr>
        <w:sectPr>
          <w:pgSz w:w="11900" w:h="16865" w:orient="portrait"/>
          <w:cols w:equalWidth="0" w:num="1">
            <w:col w:w="11400"/>
          </w:cols>
          <w:pgMar w:left="240" w:top="125" w:right="259" w:bottom="0" w:gutter="0" w:footer="0" w:header="0"/>
        </w:sectPr>
      </w:pPr>
    </w:p>
    <w:bookmarkStart w:id="64" w:name="page65"/>
    <w:bookmarkEnd w:id="64"/>
    <w:p>
      <w:pPr>
        <w:spacing w:after="0" w:line="269" w:lineRule="auto"/>
        <w:rPr>
          <w:sz w:val="20"/>
          <w:szCs w:val="20"/>
          <w:color w:val="auto"/>
        </w:rPr>
      </w:pPr>
      <w:r>
        <w:rPr>
          <w:rFonts w:ascii="Arial" w:cs="Arial" w:eastAsia="Arial" w:hAnsi="Arial"/>
          <w:sz w:val="17"/>
          <w:szCs w:val="17"/>
          <w:color w:val="auto"/>
        </w:rPr>
        <w:t xml:space="preserve">shall have been made, such Holder shall be entitled to receive the amount of such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183"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
        <w:spacing w:after="0" w:line="285" w:lineRule="auto"/>
        <w:tabs>
          <w:tab w:leader="none" w:pos="245"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70"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81"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1"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66"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78"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0" w:gutter="0" w:footer="0" w:header="0"/>
          <w:type w:val="continuous"/>
        </w:sectPr>
      </w:pPr>
    </w:p>
    <w:bookmarkStart w:id="65" w:name="page66"/>
    <w:bookmarkEnd w:id="65"/>
    <w:p>
      <w:pPr>
        <w:jc w:val="both"/>
        <w:ind w:right="20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306. </w:t>
      </w:r>
      <w:r>
        <w:rPr>
          <w:rFonts w:ascii="Arial" w:cs="Arial" w:eastAsia="Arial" w:hAnsi="Arial"/>
          <w:sz w:val="17"/>
          <w:szCs w:val="17"/>
          <w:u w:val="single" w:color="auto"/>
          <w:color w:val="auto"/>
        </w:rPr>
        <w:t>Mutilated, Destroyed, Lost and Stolen Securities</w:t>
      </w:r>
      <w:r>
        <w:rPr>
          <w:rFonts w:ascii="Arial" w:cs="Arial" w:eastAsia="Arial" w:hAnsi="Arial"/>
          <w:sz w:val="17"/>
          <w:szCs w:val="17"/>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73"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7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2"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8"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0"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Payment of Interest; Interest Rights Preserved</w:t>
      </w:r>
      <w:r>
        <w:rPr>
          <w:rFonts w:ascii="Arial" w:cs="Arial" w:eastAsia="Arial" w:hAnsi="Arial"/>
          <w:sz w:val="17"/>
          <w:szCs w:val="17"/>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78"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87"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73"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71" w:lineRule="exact"/>
        <w:rPr>
          <w:sz w:val="20"/>
          <w:szCs w:val="20"/>
          <w:color w:val="auto"/>
        </w:rPr>
      </w:pPr>
    </w:p>
    <w:p>
      <w:pPr>
        <w:ind w:left="440" w:firstLine="449"/>
        <w:spacing w:after="0" w:line="293" w:lineRule="auto"/>
        <w:tabs>
          <w:tab w:leader="none" w:pos="1133"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w:t>
      </w:r>
    </w:p>
    <w:p>
      <w:pPr>
        <w:sectPr>
          <w:pgSz w:w="11900" w:h="16838" w:orient="portrait"/>
          <w:cols w:equalWidth="0" w:num="1">
            <w:col w:w="11400"/>
          </w:cols>
          <w:pgMar w:left="240" w:top="733" w:right="259" w:bottom="0" w:gutter="0" w:footer="0" w:header="0"/>
        </w:sectPr>
      </w:pPr>
    </w:p>
    <w:bookmarkStart w:id="66" w:name="page67"/>
    <w:bookmarkEnd w:id="66"/>
    <w:p>
      <w:pPr>
        <w:ind w:left="440"/>
        <w:spacing w:after="0" w:line="267" w:lineRule="auto"/>
        <w:rPr>
          <w:sz w:val="20"/>
          <w:szCs w:val="20"/>
          <w:color w:val="auto"/>
        </w:rPr>
      </w:pPr>
      <w:r>
        <w:rPr>
          <w:rFonts w:ascii="Arial" w:cs="Arial" w:eastAsia="Arial" w:hAnsi="Arial"/>
          <w:sz w:val="17"/>
          <w:szCs w:val="17"/>
          <w:color w:val="auto"/>
        </w:rPr>
        <w:t>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191" w:lineRule="exact"/>
        <w:rPr>
          <w:sz w:val="20"/>
          <w:szCs w:val="20"/>
          <w:color w:val="auto"/>
        </w:rPr>
      </w:pPr>
    </w:p>
    <w:p>
      <w:pPr>
        <w:ind w:left="440" w:right="200" w:firstLine="449"/>
        <w:spacing w:after="0" w:line="259" w:lineRule="auto"/>
        <w:tabs>
          <w:tab w:leader="none" w:pos="113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81"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65" w:lineRule="exact"/>
        <w:rPr>
          <w:sz w:val="20"/>
          <w:szCs w:val="20"/>
          <w:color w:val="auto"/>
        </w:rPr>
      </w:pPr>
    </w:p>
    <w:p>
      <w:pPr>
        <w:ind w:right="220" w:firstLine="441"/>
        <w:spacing w:after="0" w:line="279" w:lineRule="auto"/>
        <w:rPr>
          <w:sz w:val="20"/>
          <w:szCs w:val="20"/>
          <w:color w:val="auto"/>
        </w:rPr>
      </w:pPr>
      <w:r>
        <w:rPr>
          <w:rFonts w:ascii="Arial" w:cs="Arial" w:eastAsia="Arial" w:hAnsi="Arial"/>
          <w:sz w:val="17"/>
          <w:szCs w:val="17"/>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71"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58"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71"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Cancellation</w:t>
      </w:r>
      <w:r>
        <w:rPr>
          <w:rFonts w:ascii="Arial" w:cs="Arial" w:eastAsia="Arial" w:hAnsi="Arial"/>
          <w:sz w:val="17"/>
          <w:szCs w:val="17"/>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83"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70"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CUSIP Numbers</w:t>
      </w:r>
      <w:r>
        <w:rPr>
          <w:rFonts w:ascii="Arial" w:cs="Arial" w:eastAsia="Arial" w:hAnsi="Arial"/>
          <w:sz w:val="18"/>
          <w:szCs w:val="18"/>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0" w:gutter="0" w:footer="0" w:header="0"/>
          <w:type w:val="continuous"/>
        </w:sectPr>
      </w:pPr>
    </w:p>
    <w:bookmarkStart w:id="67" w:name="page68"/>
    <w:bookmarkEnd w:id="67"/>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any such redemption shall not be affected by any defect in or omission of such numbers. The Company will promptly notify the Trustee of any change in the “CUSIP” numbers.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FOUR - SATISFACTION AND DISCHARGE</w:t>
      </w:r>
    </w:p>
    <w:p>
      <w:pPr>
        <w:spacing w:after="0" w:line="225"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54" w:lineRule="exact"/>
        <w:rPr>
          <w:sz w:val="20"/>
          <w:szCs w:val="20"/>
          <w:color w:val="auto"/>
        </w:rPr>
      </w:pPr>
    </w:p>
    <w:p>
      <w:pPr>
        <w:ind w:left="1140" w:hanging="251"/>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880" w:right="20" w:firstLine="450"/>
        <w:spacing w:after="0" w:line="291" w:lineRule="auto"/>
        <w:tabs>
          <w:tab w:leader="none" w:pos="1616"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67" w:lineRule="exact"/>
        <w:rPr>
          <w:rFonts w:ascii="Arial" w:cs="Arial" w:eastAsia="Arial" w:hAnsi="Arial"/>
          <w:sz w:val="16"/>
          <w:szCs w:val="16"/>
          <w:color w:val="auto"/>
        </w:rPr>
      </w:pPr>
    </w:p>
    <w:p>
      <w:pPr>
        <w:ind w:left="880" w:right="20" w:firstLine="450"/>
        <w:spacing w:after="0" w:line="277" w:lineRule="auto"/>
        <w:tabs>
          <w:tab w:leader="none" w:pos="1606"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Securities of such series and, in the case of (i) or (ii) below, any coupons appertaining thereto not theretofore delivered to the Trustee for cancellation</w:t>
      </w:r>
    </w:p>
    <w:p>
      <w:pPr>
        <w:spacing w:after="0" w:line="170" w:lineRule="exact"/>
        <w:rPr>
          <w:sz w:val="20"/>
          <w:szCs w:val="20"/>
          <w:color w:val="auto"/>
        </w:rPr>
      </w:pPr>
    </w:p>
    <w:p>
      <w:pPr>
        <w:ind w:left="1540" w:hanging="210"/>
        <w:spacing w:after="0"/>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1600" w:hanging="270"/>
        <w:spacing w:after="0"/>
        <w:tabs>
          <w:tab w:leader="none" w:pos="1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880" w:right="380" w:firstLine="450"/>
        <w:spacing w:after="0" w:line="308" w:lineRule="auto"/>
        <w:tabs>
          <w:tab w:leader="none" w:pos="1636"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88" w:lineRule="exact"/>
        <w:rPr>
          <w:sz w:val="20"/>
          <w:szCs w:val="20"/>
          <w:color w:val="auto"/>
        </w:rPr>
      </w:pPr>
    </w:p>
    <w:p>
      <w:pPr>
        <w:ind w:left="1140" w:hanging="251"/>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440" w:right="60" w:firstLine="449"/>
        <w:spacing w:after="0" w:line="277" w:lineRule="auto"/>
        <w:tabs>
          <w:tab w:leader="none" w:pos="11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Application of Trust Funds</w:t>
      </w:r>
      <w:r>
        <w:rPr>
          <w:rFonts w:ascii="Arial" w:cs="Arial" w:eastAsia="Arial" w:hAnsi="Arial"/>
          <w:sz w:val="18"/>
          <w:szCs w:val="18"/>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and any interest for whose payment such money has been deposited with or received by the Trustee, but such money need not be segregated from other funds except to the extent required by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FIVE - REMEDIES</w:t>
      </w:r>
    </w:p>
    <w:p>
      <w:pPr>
        <w:spacing w:after="0" w:line="225" w:lineRule="exact"/>
        <w:rPr>
          <w:sz w:val="20"/>
          <w:szCs w:val="20"/>
          <w:color w:val="auto"/>
        </w:rPr>
      </w:pPr>
    </w:p>
    <w:p>
      <w:pPr>
        <w:ind w:right="160" w:firstLine="441"/>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66" w:lineRule="exact"/>
        <w:rPr>
          <w:sz w:val="20"/>
          <w:szCs w:val="20"/>
          <w:color w:val="auto"/>
        </w:rPr>
      </w:pPr>
    </w:p>
    <w:p>
      <w:pPr>
        <w:ind w:left="440" w:right="480" w:firstLine="449"/>
        <w:spacing w:after="0" w:line="277" w:lineRule="auto"/>
        <w:tabs>
          <w:tab w:leader="none" w:pos="11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170" w:lineRule="exact"/>
        <w:rPr>
          <w:rFonts w:ascii="Arial" w:cs="Arial" w:eastAsia="Arial" w:hAnsi="Arial"/>
          <w:sz w:val="18"/>
          <w:szCs w:val="18"/>
          <w:color w:val="auto"/>
        </w:rPr>
      </w:pPr>
    </w:p>
    <w:p>
      <w:pPr>
        <w:ind w:left="440" w:right="260" w:firstLine="449"/>
        <w:spacing w:after="0" w:line="277" w:lineRule="auto"/>
        <w:tabs>
          <w:tab w:leader="none" w:pos="11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or Make-Whole Amount, if any, on) any Security of that series when it becomes due and payable at its Maturity; or</w:t>
      </w:r>
    </w:p>
    <w:p>
      <w:pPr>
        <w:spacing w:after="0" w:line="170" w:lineRule="exact"/>
        <w:rPr>
          <w:rFonts w:ascii="Arial" w:cs="Arial" w:eastAsia="Arial" w:hAnsi="Arial"/>
          <w:sz w:val="18"/>
          <w:szCs w:val="18"/>
          <w:color w:val="auto"/>
        </w:rPr>
      </w:pPr>
    </w:p>
    <w:p>
      <w:pPr>
        <w:ind w:left="440" w:right="200" w:firstLine="449"/>
        <w:spacing w:after="0" w:line="277" w:lineRule="auto"/>
        <w:tabs>
          <w:tab w:leader="none" w:pos="11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to the extent applicable to such series of Securities, when and as due by the terms of any Security of that series; or</w:t>
      </w:r>
    </w:p>
    <w:p>
      <w:pPr>
        <w:sectPr>
          <w:pgSz w:w="11900" w:h="16838" w:orient="portrait"/>
          <w:cols w:equalWidth="0" w:num="1">
            <w:col w:w="11420"/>
          </w:cols>
          <w:pgMar w:left="240" w:top="490" w:right="239" w:bottom="112" w:gutter="0" w:footer="0" w:header="0"/>
        </w:sectPr>
      </w:pPr>
    </w:p>
    <w:bookmarkStart w:id="68" w:name="page69"/>
    <w:bookmarkEnd w:id="68"/>
    <w:p>
      <w:pPr>
        <w:ind w:left="440" w:right="40" w:firstLine="449"/>
        <w:spacing w:after="0" w:line="273" w:lineRule="auto"/>
        <w:tabs>
          <w:tab w:leader="none" w:pos="1136" w:val="left"/>
        </w:tabs>
        <w:numPr>
          <w:ilvl w:val="0"/>
          <w:numId w:val="78"/>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8" w:lineRule="exact"/>
        <w:rPr>
          <w:rFonts w:ascii="Arial" w:cs="Arial" w:eastAsia="Arial" w:hAnsi="Arial"/>
          <w:sz w:val="17"/>
          <w:szCs w:val="17"/>
          <w:color w:val="auto"/>
        </w:rPr>
      </w:pPr>
    </w:p>
    <w:p>
      <w:pPr>
        <w:ind w:left="440" w:right="100" w:firstLine="449"/>
        <w:spacing w:after="0" w:line="287" w:lineRule="auto"/>
        <w:tabs>
          <w:tab w:leader="none" w:pos="1136"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default under any bond, debenture, note, mortgage, indenture or instrument under which there may be issued or by which there may be secured or evidenced any indebtedness for money borrowed by the Company,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172" w:lineRule="exact"/>
        <w:rPr>
          <w:rFonts w:ascii="Arial" w:cs="Arial" w:eastAsia="Arial" w:hAnsi="Arial"/>
          <w:sz w:val="16"/>
          <w:szCs w:val="16"/>
          <w:color w:val="auto"/>
        </w:rPr>
      </w:pPr>
    </w:p>
    <w:p>
      <w:pPr>
        <w:ind w:left="1140" w:hanging="251"/>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orders the liquidation of the Company, and the order or decree remains unstayed and in effect for 90 days; or</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93"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47" w:lineRule="exact"/>
        <w:rPr>
          <w:sz w:val="20"/>
          <w:szCs w:val="20"/>
          <w:color w:val="auto"/>
        </w:rPr>
      </w:pPr>
    </w:p>
    <w:p>
      <w:pPr>
        <w:ind w:left="440" w:right="100" w:firstLine="449"/>
        <w:spacing w:after="0" w:line="308" w:lineRule="auto"/>
        <w:tabs>
          <w:tab w:leader="none" w:pos="113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146" w:lineRule="exact"/>
        <w:rPr>
          <w:rFonts w:ascii="Arial" w:cs="Arial" w:eastAsia="Arial" w:hAnsi="Arial"/>
          <w:sz w:val="17"/>
          <w:szCs w:val="17"/>
          <w:color w:val="auto"/>
        </w:rPr>
      </w:pPr>
    </w:p>
    <w:p>
      <w:pPr>
        <w:ind w:left="1620" w:hanging="290"/>
        <w:spacing w:after="0"/>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overdue installments of interest on all Outstanding Securities of that series and any related coupons,</w:t>
      </w:r>
    </w:p>
    <w:p>
      <w:pPr>
        <w:spacing w:after="0" w:line="225" w:lineRule="exact"/>
        <w:rPr>
          <w:rFonts w:ascii="Arial" w:cs="Arial" w:eastAsia="Arial" w:hAnsi="Arial"/>
          <w:sz w:val="18"/>
          <w:szCs w:val="18"/>
          <w:color w:val="auto"/>
        </w:rPr>
      </w:pPr>
    </w:p>
    <w:p>
      <w:pPr>
        <w:ind w:left="880" w:right="260" w:firstLine="450"/>
        <w:spacing w:after="0" w:line="342" w:lineRule="auto"/>
        <w:tabs>
          <w:tab w:leader="none" w:pos="1606"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123" w:lineRule="exact"/>
        <w:rPr>
          <w:rFonts w:ascii="Arial" w:cs="Arial" w:eastAsia="Arial" w:hAnsi="Arial"/>
          <w:sz w:val="16"/>
          <w:szCs w:val="16"/>
          <w:color w:val="auto"/>
        </w:rPr>
      </w:pPr>
    </w:p>
    <w:p>
      <w:pPr>
        <w:ind w:left="880" w:right="580" w:firstLine="450"/>
        <w:spacing w:after="0" w:line="277" w:lineRule="auto"/>
        <w:tabs>
          <w:tab w:leader="none" w:pos="1606" w:val="left"/>
        </w:tabs>
        <w:numPr>
          <w:ilvl w:val="1"/>
          <w:numId w:val="79"/>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170" w:lineRule="exact"/>
        <w:rPr>
          <w:rFonts w:ascii="Arial" w:cs="Arial" w:eastAsia="Arial" w:hAnsi="Arial"/>
          <w:sz w:val="18"/>
          <w:szCs w:val="18"/>
          <w:color w:val="auto"/>
        </w:rPr>
      </w:pPr>
    </w:p>
    <w:p>
      <w:pPr>
        <w:ind w:left="880" w:right="340" w:firstLine="450"/>
        <w:spacing w:after="0" w:line="277" w:lineRule="auto"/>
        <w:tabs>
          <w:tab w:leader="none" w:pos="1616"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left="440" w:right="80" w:firstLine="449"/>
        <w:spacing w:after="0" w:line="264" w:lineRule="auto"/>
        <w:tabs>
          <w:tab w:leader="none" w:pos="11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ectPr>
          <w:pgSz w:w="11900" w:h="16838" w:orient="portrait"/>
          <w:cols w:equalWidth="0" w:num="1">
            <w:col w:w="11420"/>
          </w:cols>
          <w:pgMar w:left="240" w:top="125" w:right="239" w:bottom="0" w:gutter="0" w:footer="0" w:header="0"/>
        </w:sectPr>
      </w:pPr>
    </w:p>
    <w:bookmarkStart w:id="69" w:name="page70"/>
    <w:bookmarkEnd w:id="69"/>
    <w:p>
      <w:pPr>
        <w:ind w:left="44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225" w:lineRule="exact"/>
        <w:rPr>
          <w:sz w:val="20"/>
          <w:szCs w:val="20"/>
          <w:color w:val="auto"/>
        </w:rPr>
      </w:pPr>
    </w:p>
    <w:p>
      <w:pPr>
        <w:ind w:left="440" w:right="40" w:firstLine="449"/>
        <w:spacing w:after="0" w:line="277" w:lineRule="auto"/>
        <w:tabs>
          <w:tab w:leader="none" w:pos="11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default is made in the payment of the principal of (or premium or Make-Whole Amount, if any, on) any Security of any series at its Maturity,</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3"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93" w:lineRule="exact"/>
        <w:rPr>
          <w:sz w:val="20"/>
          <w:szCs w:val="20"/>
          <w:color w:val="auto"/>
        </w:rPr>
      </w:pPr>
    </w:p>
    <w:p>
      <w:pPr>
        <w:ind w:left="880" w:right="20" w:firstLine="450"/>
        <w:spacing w:after="0" w:line="302" w:lineRule="auto"/>
        <w:tabs>
          <w:tab w:leader="none" w:pos="1536"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54" w:lineRule="exact"/>
        <w:rPr>
          <w:rFonts w:ascii="Arial" w:cs="Arial" w:eastAsia="Arial" w:hAnsi="Arial"/>
          <w:sz w:val="16"/>
          <w:szCs w:val="16"/>
          <w:color w:val="auto"/>
        </w:rPr>
      </w:pPr>
    </w:p>
    <w:p>
      <w:pPr>
        <w:ind w:left="1600" w:hanging="270"/>
        <w:spacing w:after="0"/>
        <w:tabs>
          <w:tab w:leader="none" w:pos="1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54"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8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1"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Trustee May Enforce Claims Without Possession of Securities or Coupons</w:t>
      </w:r>
      <w:r>
        <w:rPr>
          <w:rFonts w:ascii="Arial" w:cs="Arial" w:eastAsia="Arial" w:hAnsi="Arial"/>
          <w:sz w:val="16"/>
          <w:szCs w:val="16"/>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5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color w:val="auto"/>
        </w:rPr>
        <w:t>THIRD: To the payment of the remainder, if any, to the Company.</w:t>
      </w:r>
    </w:p>
    <w:p>
      <w:pPr>
        <w:spacing w:after="0" w:line="225" w:lineRule="exact"/>
        <w:rPr>
          <w:sz w:val="20"/>
          <w:szCs w:val="20"/>
          <w:color w:val="auto"/>
        </w:rPr>
      </w:pPr>
    </w:p>
    <w:p>
      <w:pPr>
        <w:jc w:val="both"/>
        <w:ind w:right="340" w:firstLine="441"/>
        <w:spacing w:after="0" w:line="26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No Holder of any Security of any series or any related coupon shall have any right to institute any proceeding, judicial or otherwise, with respect to this Indenture or the Securities or any related coupon, or for the appointment of a receiver or trustee, or for any other remedy hereunder, unless:</w:t>
      </w:r>
    </w:p>
    <w:p>
      <w:pPr>
        <w:spacing w:after="0" w:line="181" w:lineRule="exact"/>
        <w:rPr>
          <w:sz w:val="20"/>
          <w:szCs w:val="20"/>
          <w:color w:val="auto"/>
        </w:rPr>
      </w:pPr>
    </w:p>
    <w:p>
      <w:pPr>
        <w:ind w:left="1140" w:hanging="251"/>
        <w:spacing w:after="0"/>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248" w:lineRule="exact"/>
        <w:rPr>
          <w:rFonts w:ascii="Arial" w:cs="Arial" w:eastAsia="Arial" w:hAnsi="Arial"/>
          <w:sz w:val="16"/>
          <w:szCs w:val="16"/>
          <w:color w:val="auto"/>
        </w:rPr>
      </w:pPr>
    </w:p>
    <w:p>
      <w:pPr>
        <w:ind w:left="440" w:right="20" w:firstLine="449"/>
        <w:spacing w:after="0" w:line="277" w:lineRule="auto"/>
        <w:tabs>
          <w:tab w:leader="none" w:pos="11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440" w:right="120" w:firstLine="449"/>
        <w:spacing w:after="0" w:line="277" w:lineRule="auto"/>
        <w:tabs>
          <w:tab w:leader="none" w:pos="11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the Trustee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236" w:lineRule="exact"/>
        <w:rPr>
          <w:rFonts w:ascii="Arial" w:cs="Arial" w:eastAsia="Arial" w:hAnsi="Arial"/>
          <w:sz w:val="17"/>
          <w:szCs w:val="17"/>
          <w:color w:val="auto"/>
        </w:rPr>
      </w:pPr>
    </w:p>
    <w:p>
      <w:pPr>
        <w:ind w:left="440" w:right="300" w:firstLine="449"/>
        <w:spacing w:after="0" w:line="277" w:lineRule="auto"/>
        <w:tabs>
          <w:tab w:leader="none" w:pos="11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or the Securities, except in the manner herein provided and for the equal and ratable benefit of all such Holders.</w:t>
      </w:r>
    </w:p>
    <w:p>
      <w:pPr>
        <w:spacing w:after="0" w:line="187"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Unconditional Right of Holders to Receive Principal, Premium or Make-Whole Amount, if any, and Interest</w:t>
      </w:r>
      <w:r>
        <w:rPr>
          <w:rFonts w:ascii="Arial" w:cs="Arial" w:eastAsia="Arial" w:hAnsi="Arial"/>
          <w:sz w:val="17"/>
          <w:szCs w:val="17"/>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7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93"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87"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 of Securities</w:t>
      </w:r>
      <w:r>
        <w:rPr>
          <w:rFonts w:ascii="Arial" w:cs="Arial" w:eastAsia="Arial" w:hAnsi="Arial"/>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40" w:hanging="251"/>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left="440" w:right="200" w:firstLine="449"/>
        <w:spacing w:after="0" w:line="277" w:lineRule="auto"/>
        <w:tabs>
          <w:tab w:leader="none" w:pos="11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unduly prejudicial to the Holders of Securities of such series not joining therein.</w:t>
      </w:r>
    </w:p>
    <w:p>
      <w:pPr>
        <w:spacing w:after="0" w:line="170"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by Holders.</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81" w:lineRule="exact"/>
        <w:rPr>
          <w:sz w:val="20"/>
          <w:szCs w:val="20"/>
          <w:color w:val="auto"/>
        </w:rPr>
      </w:pPr>
    </w:p>
    <w:p>
      <w:pPr>
        <w:ind w:left="440" w:right="520" w:firstLine="449"/>
        <w:spacing w:after="0" w:line="277" w:lineRule="auto"/>
        <w:tabs>
          <w:tab w:leader="none" w:pos="11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payment of the principal of (or premium or Make-Whole Amount, if any) or interest on any Security of such series or any related coupons, or</w:t>
      </w:r>
    </w:p>
    <w:p>
      <w:pPr>
        <w:sectPr>
          <w:pgSz w:w="11900" w:h="16838" w:orient="portrait"/>
          <w:cols w:equalWidth="0" w:num="1">
            <w:col w:w="11420"/>
          </w:cols>
          <w:pgMar w:left="240" w:top="584" w:right="239" w:bottom="18" w:gutter="0" w:footer="0" w:header="0"/>
        </w:sectPr>
      </w:pPr>
    </w:p>
    <w:bookmarkStart w:id="71" w:name="page72"/>
    <w:bookmarkEnd w:id="71"/>
    <w:p>
      <w:pPr>
        <w:ind w:left="440" w:right="280" w:firstLine="449"/>
        <w:spacing w:after="0" w:line="277" w:lineRule="auto"/>
        <w:tabs>
          <w:tab w:leader="none" w:pos="11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 or</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jc w:val="both"/>
        <w:ind w:right="420" w:firstLine="441"/>
        <w:spacing w:after="0" w:line="34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24"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Waiver of Usury, Stay or Extension Laws</w:t>
      </w:r>
      <w:r>
        <w:rPr>
          <w:rFonts w:ascii="Arial" w:cs="Arial" w:eastAsia="Arial" w:hAnsi="Arial"/>
          <w:sz w:val="17"/>
          <w:szCs w:val="17"/>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3"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SIX - THE TRUSTEE</w:t>
      </w:r>
    </w:p>
    <w:p>
      <w:pPr>
        <w:spacing w:after="0" w:line="225"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Notice of Defaults</w:t>
      </w:r>
      <w:r>
        <w:rPr>
          <w:rFonts w:ascii="Arial" w:cs="Arial" w:eastAsia="Arial" w:hAnsi="Arial"/>
          <w:sz w:val="17"/>
          <w:szCs w:val="17"/>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the case of any default or breach of the character specified in Section 501(4) with respect to the Securities and coupons of such series, no such notice to Holders shall be given until at least 60 days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after the occurrence thereof. For the purpose of this Section, the term “default” means any event which is, or after notice or lapse of time or both would become, an Event of Default with respect to the Securities of such series.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Subject to the provisions of TIA Section 315(a) through 315(d):</w:t>
      </w:r>
    </w:p>
    <w:p>
      <w:pPr>
        <w:spacing w:after="0" w:line="225" w:lineRule="exact"/>
        <w:rPr>
          <w:sz w:val="20"/>
          <w:szCs w:val="20"/>
          <w:color w:val="auto"/>
        </w:rPr>
      </w:pPr>
    </w:p>
    <w:p>
      <w:pPr>
        <w:ind w:left="440" w:right="100" w:firstLine="449"/>
        <w:spacing w:after="0" w:line="312" w:lineRule="auto"/>
        <w:tabs>
          <w:tab w:leader="none" w:pos="113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146" w:lineRule="exact"/>
        <w:rPr>
          <w:rFonts w:ascii="Arial" w:cs="Arial" w:eastAsia="Arial" w:hAnsi="Arial"/>
          <w:sz w:val="16"/>
          <w:szCs w:val="16"/>
          <w:color w:val="auto"/>
        </w:rPr>
      </w:pPr>
    </w:p>
    <w:p>
      <w:pPr>
        <w:ind w:left="440" w:right="240" w:firstLine="449"/>
        <w:spacing w:after="0" w:line="259" w:lineRule="auto"/>
        <w:tabs>
          <w:tab w:leader="none" w:pos="11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86" w:lineRule="exact"/>
        <w:rPr>
          <w:rFonts w:ascii="Arial" w:cs="Arial" w:eastAsia="Arial" w:hAnsi="Arial"/>
          <w:sz w:val="18"/>
          <w:szCs w:val="18"/>
          <w:color w:val="auto"/>
        </w:rPr>
      </w:pPr>
    </w:p>
    <w:p>
      <w:pPr>
        <w:ind w:left="440" w:right="180" w:firstLine="449"/>
        <w:spacing w:after="0" w:line="264" w:lineRule="auto"/>
        <w:tabs>
          <w:tab w:leader="none" w:pos="11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1" w:lineRule="exact"/>
        <w:rPr>
          <w:rFonts w:ascii="Arial" w:cs="Arial" w:eastAsia="Arial" w:hAnsi="Arial"/>
          <w:sz w:val="18"/>
          <w:szCs w:val="18"/>
          <w:color w:val="auto"/>
        </w:rPr>
      </w:pPr>
    </w:p>
    <w:p>
      <w:pPr>
        <w:ind w:left="440" w:right="180" w:firstLine="449"/>
        <w:spacing w:after="0" w:line="342" w:lineRule="auto"/>
        <w:tabs>
          <w:tab w:leader="none" w:pos="113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auto"/>
        </w:rPr>
      </w:pPr>
    </w:p>
    <w:p>
      <w:pPr>
        <w:ind w:left="440" w:right="120" w:firstLine="449"/>
        <w:spacing w:after="0" w:line="259" w:lineRule="auto"/>
        <w:tabs>
          <w:tab w:leader="none" w:pos="11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86" w:lineRule="exact"/>
        <w:rPr>
          <w:rFonts w:ascii="Arial" w:cs="Arial" w:eastAsia="Arial" w:hAnsi="Arial"/>
          <w:sz w:val="18"/>
          <w:szCs w:val="18"/>
          <w:color w:val="auto"/>
        </w:rPr>
      </w:pPr>
    </w:p>
    <w:p>
      <w:pPr>
        <w:ind w:left="440" w:firstLine="449"/>
        <w:spacing w:after="0" w:line="288" w:lineRule="auto"/>
        <w:tabs>
          <w:tab w:leader="none" w:pos="1136"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ectPr>
          <w:pgSz w:w="11900" w:h="16838" w:orient="portrait"/>
          <w:cols w:equalWidth="0" w:num="1">
            <w:col w:w="11420"/>
          </w:cols>
          <w:pgMar w:left="240" w:top="125" w:right="239" w:bottom="0" w:gutter="0" w:footer="0" w:header="0"/>
        </w:sectPr>
      </w:pPr>
    </w:p>
    <w:bookmarkStart w:id="72" w:name="page73"/>
    <w:bookmarkEnd w:id="72"/>
    <w:p>
      <w:pPr>
        <w:ind w:left="440" w:right="220" w:firstLine="449"/>
        <w:spacing w:after="0" w:line="264" w:lineRule="auto"/>
        <w:tabs>
          <w:tab w:leader="none" w:pos="11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rFonts w:ascii="Arial" w:cs="Arial" w:eastAsia="Arial" w:hAnsi="Arial"/>
          <w:sz w:val="18"/>
          <w:szCs w:val="18"/>
          <w:color w:val="auto"/>
        </w:rPr>
      </w:pPr>
    </w:p>
    <w:p>
      <w:pPr>
        <w:ind w:left="440" w:right="280" w:firstLine="449"/>
        <w:spacing w:after="0" w:line="277" w:lineRule="auto"/>
        <w:tabs>
          <w:tab w:leader="none" w:pos="11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440" w:right="40" w:firstLine="449"/>
        <w:spacing w:after="0" w:line="277" w:lineRule="auto"/>
        <w:tabs>
          <w:tab w:leader="none" w:pos="11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permissive right or power available to the Trustee under this Indenture or any supplement hereto shall not be construed to be a mandatory duty or obligation;</w:t>
      </w:r>
    </w:p>
    <w:p>
      <w:pPr>
        <w:spacing w:after="0" w:line="170" w:lineRule="exact"/>
        <w:rPr>
          <w:rFonts w:ascii="Arial" w:cs="Arial" w:eastAsia="Arial" w:hAnsi="Arial"/>
          <w:sz w:val="18"/>
          <w:szCs w:val="18"/>
          <w:color w:val="auto"/>
        </w:rPr>
      </w:pPr>
    </w:p>
    <w:p>
      <w:pPr>
        <w:ind w:left="1240" w:hanging="351"/>
        <w:spacing w:after="0"/>
        <w:tabs>
          <w:tab w:leader="none" w:pos="12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Trustee shall not be charged with knowledge of any matter (including any default, other than as described in Section 501(1), (2) or</w:t>
      </w:r>
    </w:p>
    <w:p>
      <w:pPr>
        <w:spacing w:after="0" w:line="35" w:lineRule="exact"/>
        <w:rPr>
          <w:sz w:val="20"/>
          <w:szCs w:val="20"/>
          <w:color w:val="auto"/>
        </w:rPr>
      </w:pPr>
    </w:p>
    <w:p>
      <w:pPr>
        <w:ind w:left="440" w:right="400"/>
        <w:spacing w:after="0" w:line="261" w:lineRule="auto"/>
        <w:rPr>
          <w:sz w:val="20"/>
          <w:szCs w:val="20"/>
          <w:color w:val="auto"/>
        </w:rPr>
      </w:pPr>
      <w:r>
        <w:rPr>
          <w:rFonts w:ascii="Arial" w:cs="Arial" w:eastAsia="Arial" w:hAnsi="Arial"/>
          <w:sz w:val="18"/>
          <w:szCs w:val="18"/>
          <w:color w:val="auto"/>
        </w:rPr>
        <w:t>(3)) unless and except to the extent actually known to a Responsible Officer of the Trustee or to the extent written notice thereof is received by the Trustee at the Corporate Trust Office;</w:t>
      </w:r>
    </w:p>
    <w:p>
      <w:pPr>
        <w:spacing w:after="0" w:line="184" w:lineRule="exact"/>
        <w:rPr>
          <w:sz w:val="20"/>
          <w:szCs w:val="20"/>
          <w:color w:val="auto"/>
        </w:rPr>
      </w:pPr>
    </w:p>
    <w:p>
      <w:pPr>
        <w:ind w:left="440" w:right="420" w:firstLine="449"/>
        <w:spacing w:after="0" w:line="277" w:lineRule="auto"/>
        <w:tabs>
          <w:tab w:leader="none" w:pos="121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60" w:firstLine="449"/>
        <w:spacing w:after="0" w:line="264" w:lineRule="auto"/>
        <w:tabs>
          <w:tab w:leader="none" w:pos="12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181" w:lineRule="exact"/>
        <w:rPr>
          <w:rFonts w:ascii="Arial" w:cs="Arial" w:eastAsia="Arial" w:hAnsi="Arial"/>
          <w:sz w:val="18"/>
          <w:szCs w:val="18"/>
          <w:color w:val="auto"/>
        </w:rPr>
      </w:pPr>
    </w:p>
    <w:p>
      <w:pPr>
        <w:ind w:left="440" w:right="80" w:firstLine="449"/>
        <w:spacing w:after="0" w:line="286" w:lineRule="auto"/>
        <w:tabs>
          <w:tab w:leader="none" w:pos="1226"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6" w:lineRule="exact"/>
        <w:rPr>
          <w:sz w:val="20"/>
          <w:szCs w:val="20"/>
          <w:color w:val="auto"/>
        </w:rPr>
      </w:pPr>
    </w:p>
    <w:p>
      <w:pPr>
        <w:ind w:right="560" w:firstLine="441"/>
        <w:spacing w:after="0" w:line="264"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70"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Not Responsible for Recitals or Issuance of Securities</w:t>
      </w:r>
      <w:r>
        <w:rPr>
          <w:rFonts w:ascii="Arial" w:cs="Arial" w:eastAsia="Arial" w:hAnsi="Arial"/>
          <w:sz w:val="17"/>
          <w:szCs w:val="17"/>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178"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May Hold Securities</w:t>
      </w:r>
      <w:r>
        <w:rPr>
          <w:rFonts w:ascii="Arial" w:cs="Arial" w:eastAsia="Arial" w:hAnsi="Arial"/>
          <w:sz w:val="16"/>
          <w:szCs w:val="16"/>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47" w:lineRule="exact"/>
        <w:rPr>
          <w:sz w:val="20"/>
          <w:szCs w:val="20"/>
          <w:color w:val="auto"/>
        </w:rPr>
      </w:pPr>
    </w:p>
    <w:p>
      <w:pPr>
        <w:ind w:right="380" w:firstLine="441"/>
        <w:spacing w:after="0" w:line="26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225" w:lineRule="exact"/>
        <w:rPr>
          <w:sz w:val="20"/>
          <w:szCs w:val="20"/>
          <w:color w:val="auto"/>
        </w:rPr>
      </w:pPr>
    </w:p>
    <w:p>
      <w:pPr>
        <w:ind w:left="440" w:right="260" w:firstLine="449"/>
        <w:spacing w:after="0" w:line="308" w:lineRule="auto"/>
        <w:tabs>
          <w:tab w:leader="none" w:pos="1136"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146" w:lineRule="exact"/>
        <w:rPr>
          <w:rFonts w:ascii="Arial" w:cs="Arial" w:eastAsia="Arial" w:hAnsi="Arial"/>
          <w:sz w:val="17"/>
          <w:szCs w:val="17"/>
          <w:color w:val="auto"/>
        </w:rPr>
      </w:pPr>
    </w:p>
    <w:p>
      <w:pPr>
        <w:jc w:val="both"/>
        <w:ind w:left="440" w:right="740" w:firstLine="449"/>
        <w:spacing w:after="0" w:line="279" w:lineRule="auto"/>
        <w:tabs>
          <w:tab w:leader="none" w:pos="1136" w:val="left"/>
        </w:tabs>
        <w:numPr>
          <w:ilvl w:val="0"/>
          <w:numId w:val="90"/>
        </w:numPr>
        <w:rPr>
          <w:rFonts w:ascii="Arial" w:cs="Arial" w:eastAsia="Arial" w:hAnsi="Arial"/>
          <w:sz w:val="17"/>
          <w:szCs w:val="17"/>
          <w:color w:val="auto"/>
        </w:rPr>
      </w:pPr>
      <w:r>
        <w:rPr>
          <w:rFonts w:ascii="Arial" w:cs="Arial" w:eastAsia="Arial" w:hAnsi="Arial"/>
          <w:sz w:val="17"/>
          <w:szCs w:val="17"/>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171" w:lineRule="exact"/>
        <w:rPr>
          <w:rFonts w:ascii="Arial" w:cs="Arial" w:eastAsia="Arial" w:hAnsi="Arial"/>
          <w:sz w:val="17"/>
          <w:szCs w:val="17"/>
          <w:color w:val="auto"/>
        </w:rPr>
      </w:pPr>
    </w:p>
    <w:p>
      <w:pPr>
        <w:jc w:val="both"/>
        <w:ind w:left="440" w:firstLine="449"/>
        <w:spacing w:after="0" w:line="259" w:lineRule="auto"/>
        <w:tabs>
          <w:tab w:leader="none" w:pos="11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7" w:lineRule="exact"/>
        <w:rPr>
          <w:sz w:val="20"/>
          <w:szCs w:val="20"/>
          <w:color w:val="auto"/>
        </w:rPr>
      </w:pPr>
    </w:p>
    <w:p>
      <w:pPr>
        <w:jc w:val="both"/>
        <w:ind w:right="640" w:firstLine="441"/>
        <w:spacing w:after="0" w:line="264"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532" w:gutter="0" w:footer="0" w:header="0"/>
        </w:sectPr>
      </w:pPr>
    </w:p>
    <w:bookmarkStart w:id="73" w:name="page74"/>
    <w:bookmarkEnd w:id="73"/>
    <w:p>
      <w:pPr>
        <w:jc w:val="both"/>
        <w:ind w:right="20" w:firstLine="441"/>
        <w:spacing w:after="0" w:line="264"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Corporate Trustee Required; Eligibility; Conflicting Interests</w:t>
      </w:r>
      <w:r>
        <w:rPr>
          <w:rFonts w:ascii="Arial" w:cs="Arial" w:eastAsia="Arial" w:hAnsi="Arial"/>
          <w:sz w:val="17"/>
          <w:szCs w:val="17"/>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225" w:lineRule="exact"/>
        <w:rPr>
          <w:sz w:val="20"/>
          <w:szCs w:val="20"/>
          <w:color w:val="auto"/>
        </w:rPr>
      </w:pPr>
    </w:p>
    <w:p>
      <w:pPr>
        <w:ind w:right="240" w:firstLine="889"/>
        <w:spacing w:after="0" w:line="277" w:lineRule="auto"/>
        <w:tabs>
          <w:tab w:leader="none" w:pos="1126"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70" w:lineRule="exact"/>
        <w:rPr>
          <w:rFonts w:ascii="Arial" w:cs="Arial" w:eastAsia="Arial" w:hAnsi="Arial"/>
          <w:sz w:val="18"/>
          <w:szCs w:val="18"/>
          <w:color w:val="auto"/>
        </w:rPr>
      </w:pPr>
    </w:p>
    <w:p>
      <w:pPr>
        <w:jc w:val="both"/>
        <w:ind w:right="120" w:firstLine="889"/>
        <w:spacing w:after="0" w:line="312" w:lineRule="auto"/>
        <w:tabs>
          <w:tab w:leader="none" w:pos="1133"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46" w:lineRule="exact"/>
        <w:rPr>
          <w:rFonts w:ascii="Arial" w:cs="Arial" w:eastAsia="Arial" w:hAnsi="Arial"/>
          <w:sz w:val="16"/>
          <w:szCs w:val="16"/>
          <w:color w:val="auto"/>
        </w:rPr>
      </w:pPr>
    </w:p>
    <w:p>
      <w:pPr>
        <w:ind w:right="40" w:firstLine="889"/>
        <w:spacing w:after="0" w:line="259" w:lineRule="auto"/>
        <w:tabs>
          <w:tab w:leader="none" w:pos="1123"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86" w:lineRule="exact"/>
        <w:rPr>
          <w:rFonts w:ascii="Arial" w:cs="Arial" w:eastAsia="Arial" w:hAnsi="Arial"/>
          <w:sz w:val="18"/>
          <w:szCs w:val="18"/>
          <w:color w:val="auto"/>
        </w:rPr>
      </w:pPr>
    </w:p>
    <w:p>
      <w:pPr>
        <w:ind w:left="1140" w:hanging="251"/>
        <w:spacing w:after="0"/>
        <w:tabs>
          <w:tab w:leader="none" w:pos="11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225" w:lineRule="exact"/>
        <w:rPr>
          <w:rFonts w:ascii="Arial" w:cs="Arial" w:eastAsia="Arial" w:hAnsi="Arial"/>
          <w:sz w:val="18"/>
          <w:szCs w:val="18"/>
          <w:color w:val="auto"/>
        </w:rPr>
      </w:pPr>
    </w:p>
    <w:p>
      <w:pPr>
        <w:ind w:left="440" w:right="20" w:firstLine="449"/>
        <w:spacing w:after="0" w:line="277" w:lineRule="auto"/>
        <w:tabs>
          <w:tab w:leader="none" w:pos="11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70" w:lineRule="exact"/>
        <w:rPr>
          <w:rFonts w:ascii="Arial" w:cs="Arial" w:eastAsia="Arial" w:hAnsi="Arial"/>
          <w:sz w:val="18"/>
          <w:szCs w:val="18"/>
          <w:color w:val="auto"/>
        </w:rPr>
      </w:pPr>
    </w:p>
    <w:p>
      <w:pPr>
        <w:ind w:left="440" w:right="60" w:firstLine="449"/>
        <w:spacing w:after="0" w:line="277" w:lineRule="auto"/>
        <w:tabs>
          <w:tab w:leader="none" w:pos="11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70" w:lineRule="exact"/>
        <w:rPr>
          <w:rFonts w:ascii="Arial" w:cs="Arial" w:eastAsia="Arial" w:hAnsi="Arial"/>
          <w:sz w:val="18"/>
          <w:szCs w:val="18"/>
          <w:color w:val="auto"/>
        </w:rPr>
      </w:pPr>
    </w:p>
    <w:p>
      <w:pPr>
        <w:ind w:left="440" w:right="20" w:firstLine="449"/>
        <w:spacing w:after="0" w:line="273" w:lineRule="auto"/>
        <w:tabs>
          <w:tab w:leader="none" w:pos="1136"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78" w:lineRule="exact"/>
        <w:rPr>
          <w:rFonts w:ascii="Arial" w:cs="Arial" w:eastAsia="Arial" w:hAnsi="Arial"/>
          <w:sz w:val="17"/>
          <w:szCs w:val="17"/>
          <w:color w:val="auto"/>
        </w:rPr>
      </w:pPr>
    </w:p>
    <w:p>
      <w:pPr>
        <w:ind w:right="80" w:firstLine="889"/>
        <w:spacing w:after="0" w:line="257" w:lineRule="auto"/>
        <w:tabs>
          <w:tab w:leader="none" w:pos="1126"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8" w:lineRule="exact"/>
        <w:rPr>
          <w:sz w:val="20"/>
          <w:szCs w:val="20"/>
          <w:color w:val="auto"/>
        </w:rPr>
      </w:pPr>
    </w:p>
    <w:p>
      <w:pPr>
        <w:ind w:right="120" w:firstLine="889"/>
        <w:spacing w:after="0" w:line="312" w:lineRule="auto"/>
        <w:tabs>
          <w:tab w:leader="none" w:pos="1103"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right="40" w:firstLine="889"/>
        <w:spacing w:after="0" w:line="255" w:lineRule="auto"/>
        <w:tabs>
          <w:tab w:leader="none" w:pos="1126"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ectPr>
          <w:pgSz w:w="11900" w:h="16838" w:orient="portrait"/>
          <w:cols w:equalWidth="0" w:num="1">
            <w:col w:w="11420"/>
          </w:cols>
          <w:pgMar w:left="240" w:top="125" w:right="239" w:bottom="0" w:gutter="0" w:footer="0" w:header="0"/>
        </w:sectPr>
      </w:pPr>
    </w:p>
    <w:bookmarkStart w:id="74" w:name="page75"/>
    <w:bookmarkEnd w:id="74"/>
    <w:p>
      <w:pPr>
        <w:ind w:right="20" w:firstLine="889"/>
        <w:spacing w:after="0" w:line="286" w:lineRule="auto"/>
        <w:tabs>
          <w:tab w:leader="none" w:pos="1136"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8" w:lineRule="exact"/>
        <w:rPr>
          <w:rFonts w:ascii="Arial" w:cs="Arial" w:eastAsia="Arial" w:hAnsi="Arial"/>
          <w:sz w:val="16"/>
          <w:szCs w:val="16"/>
          <w:color w:val="auto"/>
        </w:rPr>
      </w:pPr>
    </w:p>
    <w:p>
      <w:pPr>
        <w:ind w:right="280" w:firstLine="889"/>
        <w:spacing w:after="0" w:line="342" w:lineRule="auto"/>
        <w:tabs>
          <w:tab w:leader="none" w:pos="1126" w:val="left"/>
        </w:tabs>
        <w:numPr>
          <w:ilvl w:val="0"/>
          <w:numId w:val="95"/>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23" w:lineRule="exact"/>
        <w:rPr>
          <w:rFonts w:ascii="Arial" w:cs="Arial" w:eastAsia="Arial" w:hAnsi="Arial"/>
          <w:sz w:val="16"/>
          <w:szCs w:val="16"/>
          <w:color w:val="auto"/>
        </w:rPr>
      </w:pPr>
    </w:p>
    <w:p>
      <w:pPr>
        <w:ind w:right="120" w:firstLine="889"/>
        <w:spacing w:after="0" w:line="277" w:lineRule="auto"/>
        <w:tabs>
          <w:tab w:leader="none" w:pos="11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Trustee, shall be the successor of the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89"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69"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71"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66"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70" w:lineRule="exact"/>
        <w:rPr>
          <w:sz w:val="20"/>
          <w:szCs w:val="20"/>
          <w:color w:val="auto"/>
        </w:rPr>
      </w:pPr>
    </w:p>
    <w:p>
      <w:pPr>
        <w:ind w:right="540" w:firstLine="441"/>
        <w:spacing w:after="0" w:line="34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therein referred to in the within- mentioned Indenture.</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0" w:gutter="0" w:footer="0" w:header="0"/>
          <w:type w:val="continuous"/>
        </w:sectPr>
      </w:pPr>
    </w:p>
    <w:bookmarkStart w:id="75" w:name="page76"/>
    <w:bookmarkEnd w:id="75"/>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09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2"/>
          </w:tcPr>
          <w:p>
            <w:pPr>
              <w:ind w:left="420"/>
              <w:spacing w:after="0"/>
              <w:rPr>
                <w:sz w:val="20"/>
                <w:szCs w:val="20"/>
                <w:color w:val="auto"/>
              </w:rPr>
            </w:pPr>
            <w:r>
              <w:rPr>
                <w:rFonts w:ascii="Arial" w:cs="Arial" w:eastAsia="Arial" w:hAnsi="Arial"/>
                <w:sz w:val="18"/>
                <w:szCs w:val="18"/>
                <w:color w:val="auto"/>
              </w:rPr>
              <w:t>as Trustee</w:t>
            </w:r>
          </w:p>
        </w:tc>
      </w:tr>
      <w:tr>
        <w:trPr>
          <w:trHeight w:val="418"/>
        </w:trPr>
        <w:tc>
          <w:tcPr>
            <w:tcW w:w="5320" w:type="dxa"/>
            <w:vAlign w:val="bottom"/>
            <w:gridSpan w:val="4"/>
          </w:tcPr>
          <w:p>
            <w:pPr>
              <w:spacing w:after="0"/>
              <w:rPr>
                <w:sz w:val="20"/>
                <w:szCs w:val="20"/>
                <w:color w:val="auto"/>
              </w:rPr>
            </w:pPr>
            <w:r>
              <w:rPr>
                <w:rFonts w:ascii="Arial" w:cs="Arial" w:eastAsia="Arial" w:hAnsi="Arial"/>
                <w:sz w:val="18"/>
                <w:szCs w:val="18"/>
                <w:color w:val="auto"/>
              </w:rPr>
              <w:t>Dated:</w:t>
            </w:r>
          </w:p>
        </w:tc>
        <w:tc>
          <w:tcPr>
            <w:tcW w:w="6100" w:type="dxa"/>
            <w:vAlign w:val="bottom"/>
            <w:gridSpan w:val="2"/>
          </w:tcPr>
          <w:p>
            <w:pPr>
              <w:ind w:left="420"/>
              <w:spacing w:after="0"/>
              <w:rPr>
                <w:sz w:val="20"/>
                <w:szCs w:val="20"/>
                <w:color w:val="auto"/>
              </w:rPr>
            </w:pPr>
            <w:r>
              <w:rPr>
                <w:rFonts w:ascii="Arial" w:cs="Arial" w:eastAsia="Arial" w:hAnsi="Arial"/>
                <w:sz w:val="18"/>
                <w:szCs w:val="18"/>
                <w:color w:val="auto"/>
              </w:rPr>
              <w:t>By:</w:t>
            </w:r>
          </w:p>
        </w:tc>
      </w:tr>
      <w:tr>
        <w:trPr>
          <w:trHeight w:val="224"/>
        </w:trPr>
        <w:tc>
          <w:tcPr>
            <w:tcW w:w="7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 Authenticating Agent</w:t>
            </w:r>
          </w:p>
        </w:tc>
      </w:tr>
      <w:tr>
        <w:trPr>
          <w:trHeight w:val="418"/>
        </w:trPr>
        <w:tc>
          <w:tcPr>
            <w:tcW w:w="5320" w:type="dxa"/>
            <w:vAlign w:val="bottom"/>
            <w:gridSpan w:val="4"/>
          </w:tcPr>
          <w:p>
            <w:pPr>
              <w:spacing w:after="0"/>
              <w:rPr>
                <w:sz w:val="20"/>
                <w:szCs w:val="20"/>
                <w:color w:val="auto"/>
              </w:rPr>
            </w:pPr>
            <w:r>
              <w:rPr>
                <w:rFonts w:ascii="Arial" w:cs="Arial" w:eastAsia="Arial" w:hAnsi="Arial"/>
                <w:sz w:val="18"/>
                <w:szCs w:val="18"/>
                <w:color w:val="auto"/>
              </w:rPr>
              <w:t>Dated:</w:t>
            </w:r>
          </w:p>
        </w:tc>
        <w:tc>
          <w:tcPr>
            <w:tcW w:w="6100" w:type="dxa"/>
            <w:vAlign w:val="bottom"/>
            <w:gridSpan w:val="2"/>
          </w:tcPr>
          <w:p>
            <w:pPr>
              <w:ind w:left="420"/>
              <w:spacing w:after="0"/>
              <w:rPr>
                <w:sz w:val="20"/>
                <w:szCs w:val="20"/>
                <w:color w:val="auto"/>
              </w:rPr>
            </w:pPr>
            <w:r>
              <w:rPr>
                <w:rFonts w:ascii="Arial" w:cs="Arial" w:eastAsia="Arial" w:hAnsi="Arial"/>
                <w:sz w:val="18"/>
                <w:szCs w:val="18"/>
                <w:color w:val="auto"/>
              </w:rPr>
              <w:t>By:</w:t>
            </w:r>
          </w:p>
        </w:tc>
      </w:tr>
      <w:tr>
        <w:trPr>
          <w:trHeight w:val="224"/>
        </w:trPr>
        <w:tc>
          <w:tcPr>
            <w:tcW w:w="7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 Authenticating Agent</w:t>
            </w:r>
          </w:p>
        </w:tc>
      </w:tr>
      <w:tr>
        <w:trPr>
          <w:trHeight w:val="377"/>
        </w:trPr>
        <w:tc>
          <w:tcPr>
            <w:tcW w:w="5320" w:type="dxa"/>
            <w:vAlign w:val="bottom"/>
            <w:gridSpan w:val="4"/>
          </w:tcPr>
          <w:p>
            <w:pPr>
              <w:ind w:left="440"/>
              <w:spacing w:after="0"/>
              <w:rPr>
                <w:sz w:val="20"/>
                <w:szCs w:val="20"/>
                <w:color w:val="auto"/>
              </w:rPr>
            </w:pPr>
            <w:r>
              <w:rPr>
                <w:rFonts w:ascii="Arial" w:cs="Arial" w:eastAsia="Arial" w:hAnsi="Arial"/>
                <w:sz w:val="18"/>
                <w:szCs w:val="18"/>
                <w:color w:val="auto"/>
                <w:w w:val="92"/>
              </w:rPr>
              <w:t>SECTION 612. Certain Duties and Responsibilities of the Trustee.</w:t>
            </w:r>
          </w:p>
        </w:tc>
        <w:tc>
          <w:tcPr>
            <w:tcW w:w="9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With respect to the Securities of any series, except during the continuance of an Event of Default with respect to the Securities of such series:</w:t>
      </w:r>
    </w:p>
    <w:p>
      <w:pPr>
        <w:spacing w:after="0" w:line="248" w:lineRule="exact"/>
        <w:rPr>
          <w:sz w:val="20"/>
          <w:szCs w:val="20"/>
          <w:color w:val="auto"/>
        </w:rPr>
      </w:pPr>
    </w:p>
    <w:p>
      <w:pPr>
        <w:ind w:left="440" w:right="140" w:firstLine="449"/>
        <w:spacing w:after="0" w:line="277" w:lineRule="auto"/>
        <w:tabs>
          <w:tab w:leader="none" w:pos="11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70" w:lineRule="exact"/>
        <w:rPr>
          <w:rFonts w:ascii="Arial" w:cs="Arial" w:eastAsia="Arial" w:hAnsi="Arial"/>
          <w:sz w:val="18"/>
          <w:szCs w:val="18"/>
          <w:color w:val="auto"/>
        </w:rPr>
      </w:pPr>
    </w:p>
    <w:p>
      <w:pPr>
        <w:ind w:left="440" w:right="60" w:firstLine="449"/>
        <w:spacing w:after="0" w:line="257" w:lineRule="auto"/>
        <w:tabs>
          <w:tab w:leader="none" w:pos="11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88" w:lineRule="exact"/>
        <w:rPr>
          <w:rFonts w:ascii="Arial" w:cs="Arial" w:eastAsia="Arial" w:hAnsi="Arial"/>
          <w:sz w:val="18"/>
          <w:szCs w:val="18"/>
          <w:color w:val="auto"/>
        </w:rPr>
      </w:pPr>
    </w:p>
    <w:p>
      <w:pPr>
        <w:ind w:right="140" w:firstLine="889"/>
        <w:spacing w:after="0" w:line="264" w:lineRule="auto"/>
        <w:tabs>
          <w:tab w:leader="none" w:pos="1136"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81" w:lineRule="exact"/>
        <w:rPr>
          <w:rFonts w:ascii="Arial" w:cs="Arial" w:eastAsia="Arial" w:hAnsi="Arial"/>
          <w:sz w:val="18"/>
          <w:szCs w:val="18"/>
          <w:color w:val="auto"/>
        </w:rPr>
      </w:pPr>
    </w:p>
    <w:p>
      <w:pPr>
        <w:ind w:right="140" w:firstLine="889"/>
        <w:spacing w:after="0" w:line="277" w:lineRule="auto"/>
        <w:tabs>
          <w:tab w:leader="none" w:pos="1126"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sz w:val="20"/>
          <w:szCs w:val="20"/>
          <w:color w:val="auto"/>
        </w:rPr>
      </w:pPr>
    </w:p>
    <w:p>
      <w:pPr>
        <w:ind w:left="1140" w:hanging="251"/>
        <w:spacing w:after="0"/>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225" w:lineRule="exact"/>
        <w:rPr>
          <w:rFonts w:ascii="Arial" w:cs="Arial" w:eastAsia="Arial" w:hAnsi="Arial"/>
          <w:sz w:val="18"/>
          <w:szCs w:val="18"/>
          <w:color w:val="auto"/>
        </w:rPr>
      </w:pPr>
    </w:p>
    <w:p>
      <w:pPr>
        <w:ind w:right="60" w:firstLine="889"/>
        <w:spacing w:after="0" w:line="277" w:lineRule="auto"/>
        <w:tabs>
          <w:tab w:leader="none" w:pos="11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70" w:lineRule="exact"/>
        <w:rPr>
          <w:rFonts w:ascii="Arial" w:cs="Arial" w:eastAsia="Arial" w:hAnsi="Arial"/>
          <w:sz w:val="18"/>
          <w:szCs w:val="18"/>
          <w:color w:val="auto"/>
        </w:rPr>
      </w:pPr>
    </w:p>
    <w:p>
      <w:pPr>
        <w:jc w:val="both"/>
        <w:ind w:right="60" w:firstLine="889"/>
        <w:spacing w:after="0" w:line="259" w:lineRule="auto"/>
        <w:tabs>
          <w:tab w:leader="none" w:pos="11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186" w:lineRule="exact"/>
        <w:rPr>
          <w:rFonts w:ascii="Arial" w:cs="Arial" w:eastAsia="Arial" w:hAnsi="Arial"/>
          <w:sz w:val="18"/>
          <w:szCs w:val="18"/>
          <w:color w:val="auto"/>
        </w:rPr>
      </w:pPr>
    </w:p>
    <w:p>
      <w:pPr>
        <w:ind w:right="80" w:firstLine="889"/>
        <w:spacing w:after="0" w:line="257" w:lineRule="auto"/>
        <w:tabs>
          <w:tab w:leader="none" w:pos="11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88" w:lineRule="exact"/>
        <w:rPr>
          <w:sz w:val="20"/>
          <w:szCs w:val="20"/>
          <w:color w:val="auto"/>
        </w:rPr>
      </w:pPr>
    </w:p>
    <w:p>
      <w:pPr>
        <w:ind w:right="80" w:firstLine="889"/>
        <w:spacing w:after="0" w:line="277" w:lineRule="auto"/>
        <w:tabs>
          <w:tab w:leader="none" w:pos="1133"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889"/>
        <w:spacing w:after="0" w:line="308" w:lineRule="auto"/>
        <w:tabs>
          <w:tab w:leader="none" w:pos="1123"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SEVEN - HOLDERS’ LISTS AND REPORTS BY TRUSTEE AND COMPANY</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Disclosure of Names and Addresses of Holders</w:t>
      </w:r>
      <w:r>
        <w:rPr>
          <w:rFonts w:ascii="Arial" w:cs="Arial" w:eastAsia="Arial" w:hAnsi="Arial"/>
          <w:sz w:val="18"/>
          <w:szCs w:val="18"/>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88" w:lineRule="exact"/>
        <w:rPr>
          <w:sz w:val="20"/>
          <w:szCs w:val="20"/>
          <w:color w:val="auto"/>
        </w:rPr>
      </w:pPr>
    </w:p>
    <w:p>
      <w:pPr>
        <w:ind w:right="300" w:firstLine="441"/>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Reports by Trustee</w:t>
      </w:r>
      <w:r>
        <w:rPr>
          <w:rFonts w:ascii="Arial" w:cs="Arial" w:eastAsia="Arial" w:hAnsi="Arial"/>
          <w:sz w:val="16"/>
          <w:szCs w:val="16"/>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w:t>
      </w:r>
    </w:p>
    <w:p>
      <w:pPr>
        <w:ind w:right="20"/>
        <w:spacing w:after="0" w:line="277" w:lineRule="auto"/>
        <w:rPr>
          <w:sz w:val="20"/>
          <w:szCs w:val="20"/>
          <w:color w:val="auto"/>
        </w:rPr>
      </w:pPr>
      <w:r>
        <w:rPr>
          <w:rFonts w:ascii="Arial" w:cs="Arial" w:eastAsia="Arial" w:hAnsi="Arial"/>
          <w:sz w:val="17"/>
          <w:szCs w:val="17"/>
          <w:color w:val="auto"/>
        </w:rPr>
        <w:t>commencing on , 20 .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will:</w:t>
      </w:r>
    </w:p>
    <w:p>
      <w:pPr>
        <w:spacing w:after="0" w:line="225" w:lineRule="exact"/>
        <w:rPr>
          <w:sz w:val="20"/>
          <w:szCs w:val="20"/>
          <w:color w:val="auto"/>
        </w:rPr>
      </w:pPr>
    </w:p>
    <w:p>
      <w:pPr>
        <w:ind w:left="440" w:right="40" w:firstLine="449"/>
        <w:spacing w:after="0" w:line="342" w:lineRule="auto"/>
        <w:tabs>
          <w:tab w:leader="none" w:pos="113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w:t>
      </w:r>
    </w:p>
    <w:p>
      <w:pPr>
        <w:sectPr>
          <w:pgSz w:w="11900" w:h="16894" w:orient="portrait"/>
          <w:cols w:equalWidth="0" w:num="1">
            <w:col w:w="11420"/>
          </w:cols>
          <w:pgMar w:left="240" w:top="733" w:right="239" w:bottom="0" w:gutter="0" w:footer="0" w:header="0"/>
        </w:sectPr>
      </w:pPr>
    </w:p>
    <w:bookmarkStart w:id="76" w:name="page77"/>
    <w:bookmarkEnd w:id="76"/>
    <w:p>
      <w:pPr>
        <w:ind w:left="440" w:right="80"/>
        <w:spacing w:after="0" w:line="297" w:lineRule="auto"/>
        <w:rPr>
          <w:sz w:val="20"/>
          <w:szCs w:val="20"/>
          <w:color w:val="auto"/>
        </w:rPr>
      </w:pPr>
      <w:r>
        <w:rPr>
          <w:rFonts w:ascii="Arial" w:cs="Arial" w:eastAsia="Arial" w:hAnsi="Arial"/>
          <w:sz w:val="16"/>
          <w:szCs w:val="16"/>
          <w:color w:val="auto"/>
        </w:rPr>
        <w:t>regulations prescribe) which the Company may be required to file with the Commission pursuant to Section 13 or Section 15(d) of the Exchange Act;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158" w:lineRule="exact"/>
        <w:rPr>
          <w:sz w:val="20"/>
          <w:szCs w:val="20"/>
          <w:color w:val="auto"/>
        </w:rPr>
      </w:pPr>
    </w:p>
    <w:p>
      <w:pPr>
        <w:ind w:left="440" w:right="120" w:firstLine="449"/>
        <w:spacing w:after="0" w:line="264" w:lineRule="auto"/>
        <w:tabs>
          <w:tab w:leader="none" w:pos="113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81" w:lineRule="exact"/>
        <w:rPr>
          <w:rFonts w:ascii="Arial" w:cs="Arial" w:eastAsia="Arial" w:hAnsi="Arial"/>
          <w:sz w:val="18"/>
          <w:szCs w:val="18"/>
          <w:color w:val="auto"/>
        </w:rPr>
      </w:pPr>
    </w:p>
    <w:p>
      <w:pPr>
        <w:jc w:val="both"/>
        <w:ind w:left="440" w:right="60" w:firstLine="449"/>
        <w:spacing w:after="0" w:line="291" w:lineRule="auto"/>
        <w:tabs>
          <w:tab w:leader="none" w:pos="113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w:t>
      </w:r>
    </w:p>
    <w:p>
      <w:pPr>
        <w:ind w:left="700" w:hanging="252"/>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of this Section as may be required by rules and regulations prescribed from time to time by the Commission; and</w:t>
      </w:r>
    </w:p>
    <w:p>
      <w:pPr>
        <w:spacing w:after="0" w:line="210" w:lineRule="exact"/>
        <w:rPr>
          <w:rFonts w:ascii="Arial" w:cs="Arial" w:eastAsia="Arial" w:hAnsi="Arial"/>
          <w:sz w:val="18"/>
          <w:szCs w:val="18"/>
          <w:color w:val="auto"/>
        </w:rPr>
      </w:pPr>
    </w:p>
    <w:p>
      <w:pPr>
        <w:jc w:val="both"/>
        <w:ind w:left="440" w:right="200" w:firstLine="449"/>
        <w:spacing w:after="0" w:line="286" w:lineRule="auto"/>
        <w:tabs>
          <w:tab w:leader="none" w:pos="1136"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Company to Furnish Trustee Names and Addresses of Holders</w:t>
      </w:r>
      <w:r>
        <w:rPr>
          <w:rFonts w:ascii="Arial" w:cs="Arial" w:eastAsia="Arial" w:hAnsi="Arial"/>
          <w:sz w:val="17"/>
          <w:szCs w:val="17"/>
          <w:color w:val="auto"/>
        </w:rPr>
        <w:t>. The Company will furnish or cause to be furnished to the Trustee:</w:t>
      </w:r>
    </w:p>
    <w:p>
      <w:pPr>
        <w:spacing w:after="0" w:line="237" w:lineRule="exact"/>
        <w:rPr>
          <w:sz w:val="20"/>
          <w:szCs w:val="20"/>
          <w:color w:val="auto"/>
        </w:rPr>
      </w:pPr>
    </w:p>
    <w:p>
      <w:pPr>
        <w:ind w:right="140" w:firstLine="889"/>
        <w:spacing w:after="0" w:line="259" w:lineRule="auto"/>
        <w:tabs>
          <w:tab w:leader="none" w:pos="112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89"/>
        <w:spacing w:after="0" w:line="277" w:lineRule="auto"/>
        <w:tabs>
          <w:tab w:leader="none" w:pos="113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the Trustee is the Security Registrar, no such list shall be required to be furnished.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EIGHT - CONSOLIDATION, MERGER, SALE, LEASE OR CONVEYANCE</w:t>
      </w:r>
    </w:p>
    <w:p>
      <w:pPr>
        <w:spacing w:after="0" w:line="22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Consolidations and Mergers of Company and Sales, Leases and Conveyances Permitted Subject to Certain Conditions</w:t>
      </w:r>
      <w:r>
        <w:rPr>
          <w:rFonts w:ascii="Arial" w:cs="Arial" w:eastAsia="Arial" w:hAnsi="Arial"/>
          <w:sz w:val="16"/>
          <w:szCs w:val="16"/>
          <w:color w:val="auto"/>
        </w:rPr>
        <w:t>. 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as a result thereof as having been incurred by the Company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69"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Rights and Duties of Successor Corporation</w:t>
      </w:r>
      <w:r>
        <w:rPr>
          <w:rFonts w:ascii="Arial" w:cs="Arial" w:eastAsia="Arial" w:hAnsi="Arial"/>
          <w:sz w:val="16"/>
          <w:szCs w:val="16"/>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6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7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Officers’ Certificate and Opinion of Counsel</w:t>
      </w:r>
      <w:r>
        <w:rPr>
          <w:rFonts w:ascii="Arial" w:cs="Arial" w:eastAsia="Arial" w:hAnsi="Arial"/>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NINE - SUPPLEMENTAL INDENTURES</w:t>
      </w:r>
    </w:p>
    <w:p>
      <w:pPr>
        <w:spacing w:after="0" w:line="225"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81" w:lineRule="exact"/>
        <w:rPr>
          <w:sz w:val="20"/>
          <w:szCs w:val="20"/>
          <w:color w:val="auto"/>
        </w:rPr>
      </w:pPr>
    </w:p>
    <w:p>
      <w:pPr>
        <w:ind w:left="440" w:right="340" w:firstLine="449"/>
        <w:spacing w:after="0" w:line="277" w:lineRule="auto"/>
        <w:tabs>
          <w:tab w:leader="none" w:pos="113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 or</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125" w:right="259" w:bottom="0" w:gutter="0" w:footer="0" w:header="0"/>
          <w:type w:val="continuous"/>
        </w:sectPr>
      </w:pPr>
    </w:p>
    <w:bookmarkStart w:id="77" w:name="page78"/>
    <w:bookmarkEnd w:id="77"/>
    <w:p>
      <w:pPr>
        <w:jc w:val="both"/>
        <w:ind w:left="440" w:right="80" w:firstLine="449"/>
        <w:spacing w:after="0" w:line="264" w:lineRule="auto"/>
        <w:tabs>
          <w:tab w:leader="none" w:pos="11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ind w:left="440" w:right="80" w:firstLine="449"/>
        <w:spacing w:after="0" w:line="293" w:lineRule="auto"/>
        <w:tabs>
          <w:tab w:leader="none" w:pos="113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64" w:lineRule="exact"/>
        <w:rPr>
          <w:rFonts w:ascii="Arial" w:cs="Arial" w:eastAsia="Arial" w:hAnsi="Arial"/>
          <w:sz w:val="16"/>
          <w:szCs w:val="16"/>
          <w:color w:val="auto"/>
        </w:rPr>
      </w:pPr>
    </w:p>
    <w:p>
      <w:pPr>
        <w:ind w:left="440" w:right="100" w:firstLine="449"/>
        <w:spacing w:after="0" w:line="276" w:lineRule="auto"/>
        <w:tabs>
          <w:tab w:leader="none" w:pos="113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action shall not adversely affect the interests of the Holders of Securities of any series or any related coupons in any material respect; or</w:t>
      </w:r>
    </w:p>
    <w:p>
      <w:pPr>
        <w:spacing w:after="0" w:line="172" w:lineRule="exact"/>
        <w:rPr>
          <w:rFonts w:ascii="Arial" w:cs="Arial" w:eastAsia="Arial" w:hAnsi="Arial"/>
          <w:sz w:val="17"/>
          <w:szCs w:val="17"/>
          <w:color w:val="auto"/>
        </w:rPr>
      </w:pPr>
    </w:p>
    <w:p>
      <w:pPr>
        <w:ind w:left="440" w:right="60" w:firstLine="449"/>
        <w:spacing w:after="0" w:line="264" w:lineRule="auto"/>
        <w:tabs>
          <w:tab w:leader="none" w:pos="11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81" w:lineRule="exact"/>
        <w:rPr>
          <w:rFonts w:ascii="Arial" w:cs="Arial" w:eastAsia="Arial" w:hAnsi="Arial"/>
          <w:sz w:val="18"/>
          <w:szCs w:val="18"/>
          <w:color w:val="auto"/>
        </w:rPr>
      </w:pPr>
    </w:p>
    <w:p>
      <w:pPr>
        <w:ind w:left="1140" w:hanging="251"/>
        <w:spacing w:after="0"/>
        <w:tabs>
          <w:tab w:leader="none" w:pos="11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establish the form or terms of Securities of any series and any related coupons as permitted or contemplated by Sections 201 and 301; or</w:t>
      </w:r>
    </w:p>
    <w:p>
      <w:pPr>
        <w:spacing w:after="0" w:line="248" w:lineRule="exact"/>
        <w:rPr>
          <w:rFonts w:ascii="Arial" w:cs="Arial" w:eastAsia="Arial" w:hAnsi="Arial"/>
          <w:sz w:val="16"/>
          <w:szCs w:val="16"/>
          <w:color w:val="auto"/>
        </w:rPr>
      </w:pPr>
    </w:p>
    <w:p>
      <w:pPr>
        <w:jc w:val="both"/>
        <w:ind w:left="440" w:right="320" w:firstLine="449"/>
        <w:spacing w:after="0" w:line="264" w:lineRule="auto"/>
        <w:tabs>
          <w:tab w:leader="none" w:pos="11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1" w:lineRule="exact"/>
        <w:rPr>
          <w:rFonts w:ascii="Arial" w:cs="Arial" w:eastAsia="Arial" w:hAnsi="Arial"/>
          <w:sz w:val="18"/>
          <w:szCs w:val="18"/>
          <w:color w:val="auto"/>
        </w:rPr>
      </w:pPr>
    </w:p>
    <w:p>
      <w:pPr>
        <w:jc w:val="both"/>
        <w:ind w:left="440" w:right="120" w:firstLine="449"/>
        <w:spacing w:after="0" w:line="259" w:lineRule="auto"/>
        <w:tabs>
          <w:tab w:leader="none" w:pos="11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provisions shall not adversely affect the interests of the Holders of Securities of any series or any related coupons in any material respect; or</w:t>
      </w:r>
    </w:p>
    <w:p>
      <w:pPr>
        <w:spacing w:after="0" w:line="186" w:lineRule="exact"/>
        <w:rPr>
          <w:rFonts w:ascii="Arial" w:cs="Arial" w:eastAsia="Arial" w:hAnsi="Arial"/>
          <w:sz w:val="18"/>
          <w:szCs w:val="18"/>
          <w:color w:val="auto"/>
        </w:rPr>
      </w:pPr>
    </w:p>
    <w:p>
      <w:pPr>
        <w:jc w:val="both"/>
        <w:ind w:left="440" w:right="20" w:firstLine="449"/>
        <w:spacing w:after="0" w:line="286" w:lineRule="auto"/>
        <w:tabs>
          <w:tab w:leader="none" w:pos="122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action shall not adversely affect the interests of the Holders of Securities of such series and any related coupons or any other series of Securities in any material respect; or</w:t>
      </w:r>
    </w:p>
    <w:p>
      <w:pPr>
        <w:spacing w:after="0" w:line="165" w:lineRule="exact"/>
        <w:rPr>
          <w:rFonts w:ascii="Arial" w:cs="Arial" w:eastAsia="Arial" w:hAnsi="Arial"/>
          <w:sz w:val="17"/>
          <w:szCs w:val="17"/>
          <w:color w:val="auto"/>
        </w:rPr>
      </w:pPr>
    </w:p>
    <w:p>
      <w:pPr>
        <w:ind w:left="1220" w:hanging="331"/>
        <w:spacing w:after="0"/>
        <w:tabs>
          <w:tab w:leader="none" w:pos="12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to make provisions with respect to Holders’ rights of conversion with respect to any series of Securities pursuant to Article Sixteen.</w:t>
      </w:r>
    </w:p>
    <w:p>
      <w:pPr>
        <w:spacing w:after="0" w:line="23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Security affected thereby:</w:t>
      </w:r>
    </w:p>
    <w:p>
      <w:pPr>
        <w:spacing w:after="0" w:line="193" w:lineRule="exact"/>
        <w:rPr>
          <w:sz w:val="20"/>
          <w:szCs w:val="20"/>
          <w:color w:val="auto"/>
        </w:rPr>
      </w:pPr>
    </w:p>
    <w:p>
      <w:pPr>
        <w:ind w:left="440" w:right="180" w:firstLine="449"/>
        <w:spacing w:after="0" w:line="255" w:lineRule="auto"/>
        <w:tabs>
          <w:tab w:leader="none" w:pos="113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40" w:right="120"/>
        <w:spacing w:after="0" w:line="279" w:lineRule="auto"/>
        <w:rPr>
          <w:sz w:val="20"/>
          <w:szCs w:val="20"/>
          <w:color w:val="auto"/>
        </w:rPr>
      </w:pPr>
      <w:r>
        <w:rPr>
          <w:rFonts w:ascii="Arial" w:cs="Arial" w:eastAsia="Arial" w:hAnsi="Arial"/>
          <w:sz w:val="17"/>
          <w:szCs w:val="17"/>
          <w:color w:val="auto"/>
        </w:rPr>
        <w:t>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Sixteen; or</w:t>
      </w:r>
    </w:p>
    <w:p>
      <w:pPr>
        <w:spacing w:after="0" w:line="171" w:lineRule="exact"/>
        <w:rPr>
          <w:sz w:val="20"/>
          <w:szCs w:val="20"/>
          <w:color w:val="auto"/>
        </w:rPr>
      </w:pPr>
    </w:p>
    <w:p>
      <w:pPr>
        <w:ind w:left="440" w:firstLine="449"/>
        <w:spacing w:after="0" w:line="259" w:lineRule="auto"/>
        <w:tabs>
          <w:tab w:leader="none" w:pos="11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86" w:lineRule="exact"/>
        <w:rPr>
          <w:rFonts w:ascii="Arial" w:cs="Arial" w:eastAsia="Arial" w:hAnsi="Arial"/>
          <w:sz w:val="18"/>
          <w:szCs w:val="18"/>
          <w:color w:val="auto"/>
        </w:rPr>
      </w:pPr>
    </w:p>
    <w:p>
      <w:pPr>
        <w:jc w:val="both"/>
        <w:ind w:left="440" w:right="120" w:firstLine="449"/>
        <w:spacing w:after="0" w:line="257" w:lineRule="auto"/>
        <w:tabs>
          <w:tab w:leader="none" w:pos="11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ectPr>
          <w:pgSz w:w="11900" w:h="16838" w:orient="portrait"/>
          <w:cols w:equalWidth="0" w:num="1">
            <w:col w:w="11400"/>
          </w:cols>
          <w:pgMar w:left="240" w:top="733" w:right="259" w:bottom="0" w:gutter="0" w:footer="0" w:header="0"/>
        </w:sectPr>
      </w:pPr>
    </w:p>
    <w:bookmarkStart w:id="78" w:name="page79"/>
    <w:bookmarkEnd w:id="78"/>
    <w:p>
      <w:pPr>
        <w:spacing w:after="0" w:line="69"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jc w:val="both"/>
        <w:ind w:right="20" w:firstLine="441"/>
        <w:spacing w:after="0" w:line="288"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Execution of Supplemental Indentures</w:t>
      </w:r>
      <w:r>
        <w:rPr>
          <w:rFonts w:ascii="Arial" w:cs="Arial" w:eastAsia="Arial" w:hAnsi="Arial"/>
          <w:sz w:val="16"/>
          <w:szCs w:val="16"/>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w:t>
      </w:r>
    </w:p>
    <w:p>
      <w:pPr>
        <w:ind w:right="120"/>
        <w:spacing w:after="0" w:line="261" w:lineRule="auto"/>
        <w:rPr>
          <w:sz w:val="20"/>
          <w:szCs w:val="20"/>
          <w:color w:val="auto"/>
        </w:rPr>
      </w:pPr>
      <w:r>
        <w:rPr>
          <w:rFonts w:ascii="Arial" w:cs="Arial" w:eastAsia="Arial" w:hAnsi="Arial"/>
          <w:sz w:val="18"/>
          <w:szCs w:val="18"/>
          <w:color w:val="auto"/>
        </w:rPr>
        <w:t>The Trustee may, but shall not be obligated to, enter into any such supplemental indenture which affects the Trustee’s own rights, duties or immunities under this Indenture or otherwise.</w:t>
      </w:r>
    </w:p>
    <w:p>
      <w:pPr>
        <w:spacing w:after="0" w:line="184" w:lineRule="exact"/>
        <w:rPr>
          <w:sz w:val="20"/>
          <w:szCs w:val="20"/>
          <w:color w:val="auto"/>
        </w:rPr>
      </w:pPr>
    </w:p>
    <w:p>
      <w:pPr>
        <w:jc w:val="both"/>
        <w:ind w:right="620" w:firstLine="441"/>
        <w:spacing w:after="0" w:line="312"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Effect of Supplemental Indentures</w:t>
      </w:r>
      <w:r>
        <w:rPr>
          <w:rFonts w:ascii="Arial" w:cs="Arial" w:eastAsia="Arial" w:hAnsi="Arial"/>
          <w:sz w:val="16"/>
          <w:szCs w:val="16"/>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4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70"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TEN - COVENANTS</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Payment of Principal, Premium or Make-Whole Amount, if any; and Interest</w:t>
      </w:r>
      <w:r>
        <w:rPr>
          <w:rFonts w:ascii="Arial" w:cs="Arial" w:eastAsia="Arial" w:hAnsi="Arial"/>
          <w:sz w:val="18"/>
          <w:szCs w:val="18"/>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87"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xml:space="preserve">.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398"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78"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w:t>
      </w:r>
    </w:p>
    <w:p>
      <w:pPr>
        <w:sectPr>
          <w:pgSz w:w="11900" w:h="16908" w:orient="portrait"/>
          <w:cols w:equalWidth="0" w:num="1">
            <w:col w:w="11420"/>
          </w:cols>
          <w:pgMar w:left="240" w:top="341" w:right="239" w:bottom="0" w:gutter="0" w:footer="0" w:header="0"/>
        </w:sectPr>
      </w:pPr>
    </w:p>
    <w:bookmarkStart w:id="79" w:name="page80"/>
    <w:bookmarkEnd w:id="79"/>
    <w:p>
      <w:pPr>
        <w:ind w:right="100"/>
        <w:spacing w:after="0" w:line="291" w:lineRule="auto"/>
        <w:rPr>
          <w:sz w:val="20"/>
          <w:szCs w:val="20"/>
          <w:color w:val="auto"/>
        </w:rPr>
      </w:pPr>
      <w:r>
        <w:rPr>
          <w:rFonts w:ascii="Arial" w:cs="Arial" w:eastAsia="Arial" w:hAnsi="Arial"/>
          <w:sz w:val="16"/>
          <w:szCs w:val="16"/>
          <w:color w:val="auto"/>
        </w:rPr>
        <w:t>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47"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Securities Payments to Be Held in Trust</w:t>
      </w:r>
      <w:r>
        <w:rPr>
          <w:rFonts w:ascii="Arial" w:cs="Arial" w:eastAsia="Arial" w:hAnsi="Arial"/>
          <w:sz w:val="16"/>
          <w:szCs w:val="16"/>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6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93"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70" w:lineRule="exact"/>
        <w:rPr>
          <w:sz w:val="20"/>
          <w:szCs w:val="20"/>
          <w:color w:val="auto"/>
        </w:rPr>
      </w:pPr>
    </w:p>
    <w:p>
      <w:pPr>
        <w:ind w:left="440" w:right="40" w:firstLine="449"/>
        <w:spacing w:after="0" w:line="308" w:lineRule="auto"/>
        <w:tabs>
          <w:tab w:leader="none" w:pos="113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46" w:lineRule="exact"/>
        <w:rPr>
          <w:rFonts w:ascii="Arial" w:cs="Arial" w:eastAsia="Arial" w:hAnsi="Arial"/>
          <w:sz w:val="17"/>
          <w:szCs w:val="17"/>
          <w:color w:val="auto"/>
        </w:rPr>
      </w:pPr>
    </w:p>
    <w:p>
      <w:pPr>
        <w:ind w:left="440" w:right="540" w:firstLine="449"/>
        <w:spacing w:after="0" w:line="277" w:lineRule="auto"/>
        <w:tabs>
          <w:tab w:leader="none" w:pos="11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70" w:lineRule="exact"/>
        <w:rPr>
          <w:rFonts w:ascii="Arial" w:cs="Arial" w:eastAsia="Arial" w:hAnsi="Arial"/>
          <w:sz w:val="18"/>
          <w:szCs w:val="18"/>
          <w:color w:val="auto"/>
        </w:rPr>
      </w:pPr>
    </w:p>
    <w:p>
      <w:pPr>
        <w:ind w:left="440" w:right="40" w:firstLine="449"/>
        <w:spacing w:after="0" w:line="277" w:lineRule="auto"/>
        <w:tabs>
          <w:tab w:leader="none" w:pos="11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1"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78"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Existence</w:t>
      </w:r>
      <w:r>
        <w:rPr>
          <w:rFonts w:ascii="Arial" w:cs="Arial" w:eastAsia="Arial" w:hAnsi="Arial"/>
          <w:sz w:val="18"/>
          <w:szCs w:val="18"/>
          <w:color w:val="auto"/>
        </w:rPr>
        <w:t xml:space="preserve">. Subject to Article Eight, the Company will do or cause to be done all things necessary to preserve and keep in full force and effect its corporate existence, all material rights (by certificate of incorporation, by-laws and statute) and material franchises;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xml:space="preserve">. The Company will cause all of its material properties used or useful in the conduct of its business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prevented from (i) removing permanently any property that has been condemned or suffered a loss due to casualty based on the Company’s reasonable judgment that such removal is in the best interest of the Company, or (ii) selling or otherwise disposing of its properties for value in the ordinary course of business.</w:t>
      </w:r>
    </w:p>
    <w:p>
      <w:pPr>
        <w:sectPr>
          <w:pgSz w:w="11900" w:h="16838" w:orient="portrait"/>
          <w:cols w:equalWidth="0" w:num="1">
            <w:col w:w="11400"/>
          </w:cols>
          <w:pgMar w:left="240" w:top="125" w:right="259" w:bottom="0" w:gutter="0" w:footer="0" w:header="0"/>
        </w:sectPr>
      </w:pPr>
    </w:p>
    <w:bookmarkStart w:id="80" w:name="page81"/>
    <w:bookmarkEnd w:id="80"/>
    <w:p>
      <w:pPr>
        <w:ind w:right="160" w:firstLine="441"/>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will cause its insurable properties to be insured against loss or damage in an amount deemed reasonable by the Board of Directors with insurers of recognized responsibility.</w:t>
      </w:r>
    </w:p>
    <w:p>
      <w:pPr>
        <w:spacing w:after="0" w:line="170" w:lineRule="exact"/>
        <w:rPr>
          <w:sz w:val="20"/>
          <w:szCs w:val="20"/>
          <w:color w:val="auto"/>
        </w:rPr>
      </w:pPr>
    </w:p>
    <w:p>
      <w:pPr>
        <w:ind w:right="240" w:firstLine="441"/>
        <w:spacing w:after="0" w:line="276"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Payment of Taxes and Other Claims</w:t>
      </w:r>
      <w:r>
        <w:rPr>
          <w:rFonts w:ascii="Arial" w:cs="Arial" w:eastAsia="Arial" w:hAnsi="Arial"/>
          <w:sz w:val="17"/>
          <w:szCs w:val="17"/>
          <w:color w:val="auto"/>
        </w:rPr>
        <w:t xml:space="preserve">. The Company will pay or discharge or cause to be paid or discharged, before the same shall become delinquent, (1) all taxes, assessments and governmental charges levied or imposed upon it or upon the income, profits or property of the Company, and (2) all lawful claims for labor, materials and supplies which, if unpaid, might by law become a lien upon the property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73"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Statement as to Compliance</w:t>
      </w:r>
      <w:r>
        <w:rPr>
          <w:rFonts w:ascii="Arial" w:cs="Arial" w:eastAsia="Arial" w:hAnsi="Arial"/>
          <w:sz w:val="18"/>
          <w:szCs w:val="18"/>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8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ELEVEN - REDEMPTION OF SECURITIES</w:t>
      </w:r>
    </w:p>
    <w:p>
      <w:pPr>
        <w:spacing w:after="0" w:line="225"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Applicability of Article</w:t>
      </w:r>
      <w:r>
        <w:rPr>
          <w:rFonts w:ascii="Arial" w:cs="Arial" w:eastAsia="Arial" w:hAnsi="Arial"/>
          <w:sz w:val="16"/>
          <w:szCs w:val="16"/>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2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93"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multiple thereof) of the principal amount of Securities of such series of a denomination larger than the minimum authorized denomination for Securities of that series.</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2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8"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140" w:hanging="251"/>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Redemption Price, accrued interest to the Redemption Date payable as provided in Section 1106, if any,</w:t>
      </w:r>
    </w:p>
    <w:p>
      <w:pPr>
        <w:spacing w:after="0" w:line="225" w:lineRule="exact"/>
        <w:rPr>
          <w:rFonts w:ascii="Arial" w:cs="Arial" w:eastAsia="Arial" w:hAnsi="Arial"/>
          <w:sz w:val="18"/>
          <w:szCs w:val="18"/>
          <w:color w:val="auto"/>
        </w:rPr>
      </w:pPr>
    </w:p>
    <w:p>
      <w:pPr>
        <w:ind w:left="440" w:right="140" w:firstLine="449"/>
        <w:spacing w:after="0" w:line="277" w:lineRule="auto"/>
        <w:tabs>
          <w:tab w:leader="none" w:pos="11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170" w:lineRule="exact"/>
        <w:rPr>
          <w:rFonts w:ascii="Arial" w:cs="Arial" w:eastAsia="Arial" w:hAnsi="Arial"/>
          <w:sz w:val="18"/>
          <w:szCs w:val="18"/>
          <w:color w:val="auto"/>
        </w:rPr>
      </w:pPr>
    </w:p>
    <w:p>
      <w:pPr>
        <w:ind w:left="440" w:right="60" w:firstLine="449"/>
        <w:spacing w:after="0" w:line="264" w:lineRule="auto"/>
        <w:tabs>
          <w:tab w:leader="none" w:pos="11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ectPr>
          <w:pgSz w:w="11900" w:h="16838" w:orient="portrait"/>
          <w:cols w:equalWidth="0" w:num="1">
            <w:col w:w="11420"/>
          </w:cols>
          <w:pgMar w:left="240" w:top="125" w:right="239" w:bottom="56" w:gutter="0" w:footer="0" w:header="0"/>
        </w:sectPr>
      </w:pPr>
    </w:p>
    <w:bookmarkStart w:id="81" w:name="page82"/>
    <w:bookmarkEnd w:id="81"/>
    <w:p>
      <w:pPr>
        <w:ind w:left="440" w:right="160" w:firstLine="449"/>
        <w:spacing w:after="0" w:line="264" w:lineRule="auto"/>
        <w:tabs>
          <w:tab w:leader="none" w:pos="113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181" w:lineRule="exact"/>
        <w:rPr>
          <w:rFonts w:ascii="Arial" w:cs="Arial" w:eastAsia="Arial" w:hAnsi="Arial"/>
          <w:sz w:val="18"/>
          <w:szCs w:val="18"/>
          <w:color w:val="auto"/>
        </w:rPr>
      </w:pPr>
    </w:p>
    <w:p>
      <w:pPr>
        <w:ind w:left="440" w:right="220" w:firstLine="449"/>
        <w:spacing w:after="0" w:line="342" w:lineRule="auto"/>
        <w:tabs>
          <w:tab w:leader="none" w:pos="113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23" w:lineRule="exact"/>
        <w:rPr>
          <w:rFonts w:ascii="Arial" w:cs="Arial" w:eastAsia="Arial" w:hAnsi="Arial"/>
          <w:sz w:val="16"/>
          <w:szCs w:val="16"/>
          <w:color w:val="auto"/>
        </w:rPr>
      </w:pPr>
    </w:p>
    <w:p>
      <w:pPr>
        <w:ind w:left="1140" w:hanging="251"/>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225" w:lineRule="exact"/>
        <w:rPr>
          <w:rFonts w:ascii="Arial" w:cs="Arial" w:eastAsia="Arial" w:hAnsi="Arial"/>
          <w:sz w:val="18"/>
          <w:szCs w:val="18"/>
          <w:color w:val="auto"/>
        </w:rPr>
      </w:pPr>
    </w:p>
    <w:p>
      <w:pPr>
        <w:ind w:left="440" w:right="100" w:firstLine="449"/>
        <w:spacing w:after="0" w:line="312" w:lineRule="auto"/>
        <w:tabs>
          <w:tab w:leader="none" w:pos="113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146" w:lineRule="exact"/>
        <w:rPr>
          <w:rFonts w:ascii="Arial" w:cs="Arial" w:eastAsia="Arial" w:hAnsi="Arial"/>
          <w:sz w:val="16"/>
          <w:szCs w:val="16"/>
          <w:color w:val="auto"/>
        </w:rPr>
      </w:pPr>
    </w:p>
    <w:p>
      <w:pPr>
        <w:ind w:left="440" w:right="40" w:firstLine="449"/>
        <w:spacing w:after="0" w:line="264" w:lineRule="auto"/>
        <w:tabs>
          <w:tab w:leader="none" w:pos="113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181" w:lineRule="exact"/>
        <w:rPr>
          <w:rFonts w:ascii="Arial" w:cs="Arial" w:eastAsia="Arial" w:hAnsi="Arial"/>
          <w:sz w:val="18"/>
          <w:szCs w:val="18"/>
          <w:color w:val="auto"/>
        </w:rPr>
      </w:pPr>
    </w:p>
    <w:p>
      <w:pPr>
        <w:ind w:left="1240" w:hanging="351"/>
        <w:spacing w:after="0"/>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CUSIP number of such Security, if any, and</w:t>
      </w:r>
    </w:p>
    <w:p>
      <w:pPr>
        <w:spacing w:after="0" w:line="225" w:lineRule="exact"/>
        <w:rPr>
          <w:rFonts w:ascii="Arial" w:cs="Arial" w:eastAsia="Arial" w:hAnsi="Arial"/>
          <w:sz w:val="18"/>
          <w:szCs w:val="18"/>
          <w:color w:val="auto"/>
        </w:rPr>
      </w:pPr>
    </w:p>
    <w:p>
      <w:pPr>
        <w:ind w:left="440" w:right="300" w:firstLine="449"/>
        <w:spacing w:after="0" w:line="264" w:lineRule="auto"/>
        <w:tabs>
          <w:tab w:leader="none" w:pos="121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93"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81"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Securities Payable on Redemption Date</w:t>
      </w:r>
      <w:r>
        <w:rPr>
          <w:rFonts w:ascii="Arial" w:cs="Arial" w:eastAsia="Arial" w:hAnsi="Arial"/>
          <w:sz w:val="17"/>
          <w:szCs w:val="17"/>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5"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6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70"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Securities Redeemed in Part</w:t>
      </w:r>
      <w:r>
        <w:rPr>
          <w:rFonts w:ascii="Arial" w:cs="Arial" w:eastAsia="Arial" w:hAnsi="Arial"/>
          <w:sz w:val="17"/>
          <w:szCs w:val="17"/>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ectPr>
          <w:pgSz w:w="11900" w:h="16838" w:orient="portrait"/>
          <w:cols w:equalWidth="0" w:num="1">
            <w:col w:w="11420"/>
          </w:cols>
          <w:pgMar w:left="240" w:top="125" w:right="239" w:bottom="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0" w:gutter="0" w:footer="0" w:header="0"/>
          <w:type w:val="continuous"/>
        </w:sectPr>
      </w:pPr>
    </w:p>
    <w:bookmarkStart w:id="82" w:name="page83"/>
    <w:bookmarkEnd w:id="82"/>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ARTICLE TWELVE - SINKING FUNDS</w:t>
      </w:r>
    </w:p>
    <w:p>
      <w:pPr>
        <w:spacing w:after="0" w:line="22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70"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8"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Satisfaction of Sinking Fund Payments with Securities</w:t>
      </w:r>
      <w:r>
        <w:rPr>
          <w:rFonts w:ascii="Arial" w:cs="Arial" w:eastAsia="Arial" w:hAnsi="Arial"/>
          <w:sz w:val="17"/>
          <w:szCs w:val="17"/>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7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THIRTEEN - REPAYMENT AT THE OPTION OF HOLDERS</w:t>
      </w:r>
    </w:p>
    <w:p>
      <w:pPr>
        <w:spacing w:after="0" w:line="225"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81"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u w:val="single" w:color="auto"/>
          <w:color w:val="auto"/>
        </w:rPr>
        <w:t>Repayment of Securities</w:t>
      </w:r>
      <w:r>
        <w:rPr>
          <w:rFonts w:ascii="Arial" w:cs="Arial" w:eastAsia="Arial" w:hAnsi="Arial"/>
          <w:sz w:val="16"/>
          <w:szCs w:val="16"/>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u w:val="single" w:color="auto"/>
          <w:color w:val="auto"/>
        </w:rPr>
        <w:t>Exercise of Option</w:t>
      </w:r>
      <w:r>
        <w:rPr>
          <w:rFonts w:ascii="Arial" w:cs="Arial" w:eastAsia="Arial" w:hAnsi="Arial"/>
          <w:sz w:val="16"/>
          <w:szCs w:val="16"/>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73"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u w:val="single" w:color="auto"/>
          <w:color w:val="auto"/>
        </w:rPr>
        <w:t>When Securities Presented for Repayment Become Due and Payable</w:t>
      </w:r>
      <w:r>
        <w:rPr>
          <w:rFonts w:ascii="Arial" w:cs="Arial" w:eastAsia="Arial" w:hAnsi="Arial"/>
          <w:sz w:val="16"/>
          <w:szCs w:val="16"/>
          <w:color w:val="auto"/>
        </w:rPr>
        <w:t>.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w:t>
      </w:r>
    </w:p>
    <w:p>
      <w:pPr>
        <w:sectPr>
          <w:pgSz w:w="11900" w:h="16844" w:orient="portrait"/>
          <w:cols w:equalWidth="0" w:num="1">
            <w:col w:w="11420"/>
          </w:cols>
          <w:pgMar w:left="240" w:top="733" w:right="239" w:bottom="0" w:gutter="0" w:footer="0" w:header="0"/>
        </w:sectPr>
      </w:pPr>
    </w:p>
    <w:bookmarkStart w:id="83" w:name="page84"/>
    <w:bookmarkEnd w:id="83"/>
    <w:p>
      <w:pPr>
        <w:ind w:right="160"/>
        <w:spacing w:after="0" w:line="288" w:lineRule="auto"/>
        <w:rPr>
          <w:sz w:val="20"/>
          <w:szCs w:val="20"/>
          <w:color w:val="auto"/>
        </w:rPr>
      </w:pPr>
      <w:r>
        <w:rPr>
          <w:rFonts w:ascii="Arial" w:cs="Arial" w:eastAsia="Arial" w:hAnsi="Arial"/>
          <w:sz w:val="16"/>
          <w:szCs w:val="16"/>
          <w:color w:val="auto"/>
        </w:rPr>
        <w:t xml:space="preserve">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69"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79"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8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Securities Repaid in Part</w:t>
      </w:r>
      <w:r>
        <w:rPr>
          <w:rFonts w:ascii="Arial" w:cs="Arial" w:eastAsia="Arial" w:hAnsi="Arial"/>
          <w:sz w:val="18"/>
          <w:szCs w:val="18"/>
          <w:color w:val="auto"/>
        </w:rPr>
        <w:t>. Upon surrender of any Registered Security which is to be repaid in part only, the Company shall execute and the Trustee shall authenticate and deliver to the Holder of such Security, without service charge and at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FOURTEEN - DEFEASANCE AND COVENANT DEFEASANCE</w:t>
      </w:r>
    </w:p>
    <w:p>
      <w:pPr>
        <w:spacing w:after="0" w:line="225"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SECTION 1401. </w:t>
      </w:r>
      <w:r>
        <w:rPr>
          <w:rFonts w:ascii="Arial" w:cs="Arial" w:eastAsia="Arial" w:hAnsi="Arial"/>
          <w:sz w:val="17"/>
          <w:szCs w:val="17"/>
          <w:u w:val="single" w:color="auto"/>
          <w:color w:val="auto"/>
        </w:rPr>
        <w:t>Applicability of Article; Company’s Option to Effect Defeasance or Covenant Defeasance</w:t>
      </w:r>
      <w:r>
        <w:rPr>
          <w:rFonts w:ascii="Arial" w:cs="Arial" w:eastAsia="Arial" w:hAnsi="Arial"/>
          <w:sz w:val="17"/>
          <w:szCs w:val="17"/>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78"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u w:val="single" w:color="auto"/>
          <w:color w:val="auto"/>
        </w:rPr>
        <w:t>Defeasance and Discharge</w:t>
      </w:r>
      <w:r>
        <w:rPr>
          <w:rFonts w:ascii="Arial" w:cs="Arial" w:eastAsia="Arial" w:hAnsi="Arial"/>
          <w:sz w:val="16"/>
          <w:szCs w:val="16"/>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w:t>
      </w:r>
    </w:p>
    <w:p>
      <w:pPr>
        <w:spacing w:after="0" w:line="4" w:lineRule="exact"/>
        <w:rPr>
          <w:sz w:val="20"/>
          <w:szCs w:val="20"/>
          <w:color w:val="auto"/>
        </w:rPr>
      </w:pPr>
    </w:p>
    <w:p>
      <w:pPr>
        <w:ind w:right="120" w:firstLine="8"/>
        <w:spacing w:after="0" w:line="261" w:lineRule="auto"/>
        <w:tabs>
          <w:tab w:leader="none" w:pos="2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84"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Conditions to Defeasance or Covenant Defeasance</w:t>
      </w:r>
      <w:r>
        <w:rPr>
          <w:rFonts w:ascii="Arial" w:cs="Arial" w:eastAsia="Arial" w:hAnsi="Arial"/>
          <w:sz w:val="17"/>
          <w:szCs w:val="17"/>
          <w:color w:val="auto"/>
        </w:rPr>
        <w:t>. The following shall be the conditions to application of Section 1402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1403 to any Outstanding Securities of or within a series and any coupons appertaining thereto:</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0" w:gutter="0" w:footer="0" w:header="0"/>
          <w:type w:val="continuous"/>
        </w:sectPr>
      </w:pPr>
    </w:p>
    <w:bookmarkStart w:id="84" w:name="page85"/>
    <w:bookmarkEnd w:id="84"/>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20" w:firstLine="449"/>
        <w:spacing w:after="0" w:line="268" w:lineRule="auto"/>
        <w:tabs>
          <w:tab w:leader="none" w:pos="68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83" w:lineRule="exact"/>
        <w:rPr>
          <w:rFonts w:ascii="Arial" w:cs="Arial" w:eastAsia="Arial" w:hAnsi="Arial"/>
          <w:sz w:val="17"/>
          <w:szCs w:val="17"/>
          <w:color w:val="auto"/>
        </w:rPr>
      </w:pPr>
    </w:p>
    <w:p>
      <w:pPr>
        <w:ind w:right="540" w:firstLine="449"/>
        <w:spacing w:after="0" w:line="277" w:lineRule="auto"/>
        <w:tabs>
          <w:tab w:leader="none" w:pos="69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70" w:lineRule="exact"/>
        <w:rPr>
          <w:rFonts w:ascii="Arial" w:cs="Arial" w:eastAsia="Arial" w:hAnsi="Arial"/>
          <w:sz w:val="18"/>
          <w:szCs w:val="18"/>
          <w:color w:val="auto"/>
        </w:rPr>
      </w:pPr>
    </w:p>
    <w:p>
      <w:pPr>
        <w:ind w:firstLine="449"/>
        <w:spacing w:after="0" w:line="259" w:lineRule="auto"/>
        <w:tabs>
          <w:tab w:leader="none" w:pos="68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86" w:lineRule="exact"/>
        <w:rPr>
          <w:rFonts w:ascii="Arial" w:cs="Arial" w:eastAsia="Arial" w:hAnsi="Arial"/>
          <w:sz w:val="18"/>
          <w:szCs w:val="18"/>
          <w:color w:val="auto"/>
        </w:rPr>
      </w:pPr>
    </w:p>
    <w:p>
      <w:pPr>
        <w:ind w:right="100" w:firstLine="449"/>
        <w:spacing w:after="0" w:line="255" w:lineRule="auto"/>
        <w:tabs>
          <w:tab w:leader="none" w:pos="69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93" w:lineRule="exact"/>
        <w:rPr>
          <w:rFonts w:ascii="Arial" w:cs="Arial" w:eastAsia="Arial" w:hAnsi="Arial"/>
          <w:sz w:val="18"/>
          <w:szCs w:val="18"/>
          <w:color w:val="auto"/>
        </w:rPr>
      </w:pPr>
    </w:p>
    <w:p>
      <w:pPr>
        <w:ind w:right="80" w:firstLine="449"/>
        <w:spacing w:after="0" w:line="259" w:lineRule="auto"/>
        <w:tabs>
          <w:tab w:leader="none" w:pos="68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right="20" w:firstLine="449"/>
        <w:spacing w:after="0" w:line="297" w:lineRule="auto"/>
        <w:tabs>
          <w:tab w:leader="none" w:pos="66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58" w:lineRule="exact"/>
        <w:rPr>
          <w:rFonts w:ascii="Arial" w:cs="Arial" w:eastAsia="Arial" w:hAnsi="Arial"/>
          <w:sz w:val="16"/>
          <w:szCs w:val="16"/>
          <w:color w:val="auto"/>
        </w:rPr>
      </w:pPr>
    </w:p>
    <w:p>
      <w:pPr>
        <w:ind w:right="80" w:firstLine="449"/>
        <w:spacing w:after="0" w:line="308" w:lineRule="auto"/>
        <w:tabs>
          <w:tab w:leader="none" w:pos="69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46" w:lineRule="exact"/>
        <w:rPr>
          <w:rFonts w:ascii="Arial" w:cs="Arial" w:eastAsia="Arial" w:hAnsi="Arial"/>
          <w:sz w:val="17"/>
          <w:szCs w:val="17"/>
          <w:color w:val="auto"/>
        </w:rPr>
      </w:pPr>
    </w:p>
    <w:p>
      <w:pPr>
        <w:ind w:left="5620" w:right="80" w:hanging="5171"/>
        <w:spacing w:after="0" w:line="528" w:lineRule="auto"/>
        <w:tabs>
          <w:tab w:leader="none" w:pos="69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payment of amounts payable to the Trustee pursuant to this Indenture shall be paid or provided for to the reasonable satisfaction of the Trustee.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1405. </w:t>
      </w:r>
      <w:r>
        <w:rPr>
          <w:rFonts w:ascii="Arial" w:cs="Arial" w:eastAsia="Arial" w:hAnsi="Arial"/>
          <w:sz w:val="16"/>
          <w:szCs w:val="16"/>
          <w:u w:val="single" w:color="auto"/>
          <w:color w:val="auto"/>
        </w:rPr>
        <w:t>Deposited Money and Government Obligations to Be Held in Trust; Other Miscellaneous Provisions</w:t>
      </w:r>
      <w:r>
        <w:rPr>
          <w:rFonts w:ascii="Arial" w:cs="Arial" w:eastAsia="Arial" w:hAnsi="Arial"/>
          <w:sz w:val="16"/>
          <w:szCs w:val="16"/>
          <w:color w:val="auto"/>
        </w:rPr>
        <w:t>. Subject to the provisions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last paragraph of Section 1003, all money and Government Obligations (or other property as may be provided pursuant to Section 301) (including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thereof) deposited with the Trustee (or other qualifying trustee, collectively for purposes of this Section 1405, the “Trustee”)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1404 in respect of any Outstanding Securities of any series and any coupons appertaining thereto shall be held in trust and applied by the Trustee,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provisions of such Securities and any coupons appertaining thereto and this Indenture, to the payment, either directly or through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Paying Agent (including the Company acting as its own Paying Agent) as the Trustee may determine, to the Holders of such Securities and any coupons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appertaining thereto of all sums due and to become due thereon in respect of principal (and premium or Make-Whole Amount, if any) and interest, but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money need not be segregated from other funds except to the extent required by law.</w:t>
      </w:r>
    </w:p>
    <w:p>
      <w:pPr>
        <w:spacing w:after="0" w:line="21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69"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w:t>
      </w:r>
    </w:p>
    <w:p>
      <w:pPr>
        <w:sectPr>
          <w:pgSz w:w="11900" w:h="16867" w:orient="portrait"/>
          <w:cols w:equalWidth="0" w:num="1">
            <w:col w:w="11400"/>
          </w:cols>
          <w:pgMar w:left="240" w:top="733" w:right="259" w:bottom="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account of the Holders of such Outstanding Securities and any coupons appertaining thereto.</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FIFTEEN - MEETINGS OF HOLDERS OF SECURITIES</w:t>
      </w:r>
    </w:p>
    <w:p>
      <w:pPr>
        <w:spacing w:after="0" w:line="225"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Call, Notice and Place of Meetings</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59" w:lineRule="auto"/>
        <w:tabs>
          <w:tab w:leader="none" w:pos="11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86" w:lineRule="exact"/>
        <w:rPr>
          <w:rFonts w:ascii="Arial" w:cs="Arial" w:eastAsia="Arial" w:hAnsi="Arial"/>
          <w:sz w:val="18"/>
          <w:szCs w:val="18"/>
          <w:color w:val="auto"/>
        </w:rPr>
      </w:pPr>
    </w:p>
    <w:p>
      <w:pPr>
        <w:ind w:firstLine="889"/>
        <w:spacing w:after="0" w:line="257" w:lineRule="auto"/>
        <w:tabs>
          <w:tab w:leader="none" w:pos="11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1503. </w:t>
      </w:r>
      <w:r>
        <w:rPr>
          <w:rFonts w:ascii="Arial" w:cs="Arial" w:eastAsia="Arial" w:hAnsi="Arial"/>
          <w:sz w:val="16"/>
          <w:szCs w:val="16"/>
          <w:u w:val="single" w:color="auto"/>
          <w:color w:val="auto"/>
        </w:rPr>
        <w:t>Persons Entitled to Vote at Meetings</w:t>
      </w:r>
      <w:r>
        <w:rPr>
          <w:rFonts w:ascii="Arial" w:cs="Arial" w:eastAsia="Arial" w:hAnsi="Arial"/>
          <w:sz w:val="16"/>
          <w:szCs w:val="16"/>
          <w:color w:val="auto"/>
        </w:rPr>
        <w:t>. To be entitled to vote at any meeting of Holders of Securities of any series, a Person shall be</w:t>
      </w:r>
    </w:p>
    <w:p>
      <w:pPr>
        <w:spacing w:after="0" w:line="46" w:lineRule="exact"/>
        <w:rPr>
          <w:sz w:val="20"/>
          <w:szCs w:val="20"/>
          <w:color w:val="auto"/>
        </w:rPr>
      </w:pPr>
    </w:p>
    <w:p>
      <w:pPr>
        <w:ind w:right="60" w:firstLine="8"/>
        <w:spacing w:after="0" w:line="254"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9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Quorum; Action</w:t>
      </w:r>
      <w:r>
        <w:rPr>
          <w:rFonts w:ascii="Arial" w:cs="Arial" w:eastAsia="Arial" w:hAnsi="Arial"/>
          <w:sz w:val="16"/>
          <w:szCs w:val="16"/>
          <w:color w:val="auto"/>
        </w:rPr>
        <w:t xml:space="preserve">. The Persons entitled to vote a majority in principal amount of the Outstanding Securities of a series shall constitute a quorum for a meeting of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73"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78"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70"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87" w:lineRule="exact"/>
        <w:rPr>
          <w:sz w:val="20"/>
          <w:szCs w:val="20"/>
          <w:color w:val="auto"/>
        </w:rPr>
      </w:pPr>
    </w:p>
    <w:p>
      <w:pPr>
        <w:ind w:left="1540" w:hanging="210"/>
        <w:spacing w:after="0"/>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25" w:lineRule="exact"/>
        <w:rPr>
          <w:rFonts w:ascii="Arial" w:cs="Arial" w:eastAsia="Arial" w:hAnsi="Arial"/>
          <w:sz w:val="18"/>
          <w:szCs w:val="18"/>
          <w:color w:val="auto"/>
        </w:rPr>
      </w:pPr>
    </w:p>
    <w:p>
      <w:pPr>
        <w:ind w:left="880" w:right="120" w:firstLine="450"/>
        <w:spacing w:after="0" w:line="264" w:lineRule="auto"/>
        <w:tabs>
          <w:tab w:leader="none" w:pos="158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Determination of Voting Rights; Conduct and Adjournment of Meetings</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86" w:name="page87"/>
    <w:bookmarkEnd w:id="86"/>
    <w:p>
      <w:pPr>
        <w:ind w:firstLine="889"/>
        <w:spacing w:after="0" w:line="259" w:lineRule="auto"/>
        <w:tabs>
          <w:tab w:leader="none" w:pos="112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appropriate. Except as otherwise permitted or required by any such regulations, the holding of Securities shall be proved in the manner specified in</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90" w:lineRule="exact"/>
        <w:rPr>
          <w:sz w:val="20"/>
          <w:szCs w:val="20"/>
          <w:color w:val="auto"/>
        </w:rPr>
      </w:pPr>
    </w:p>
    <w:p>
      <w:pPr>
        <w:ind w:right="140" w:firstLine="889"/>
        <w:spacing w:after="0" w:line="302" w:lineRule="auto"/>
        <w:tabs>
          <w:tab w:leader="none" w:pos="113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54" w:lineRule="exact"/>
        <w:rPr>
          <w:rFonts w:ascii="Arial" w:cs="Arial" w:eastAsia="Arial" w:hAnsi="Arial"/>
          <w:sz w:val="16"/>
          <w:szCs w:val="16"/>
          <w:color w:val="auto"/>
        </w:rPr>
      </w:pPr>
    </w:p>
    <w:p>
      <w:pPr>
        <w:ind w:right="240" w:firstLine="889"/>
        <w:spacing w:after="0" w:line="259" w:lineRule="auto"/>
        <w:tabs>
          <w:tab w:leader="none" w:pos="111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6" w:lineRule="exact"/>
        <w:rPr>
          <w:rFonts w:ascii="Arial" w:cs="Arial" w:eastAsia="Arial" w:hAnsi="Arial"/>
          <w:sz w:val="18"/>
          <w:szCs w:val="18"/>
          <w:color w:val="auto"/>
        </w:rPr>
      </w:pPr>
    </w:p>
    <w:p>
      <w:pPr>
        <w:ind w:firstLine="889"/>
        <w:spacing w:after="0" w:line="264" w:lineRule="auto"/>
        <w:tabs>
          <w:tab w:leader="none" w:pos="112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SECTION 1506. </w:t>
      </w:r>
      <w:r>
        <w:rPr>
          <w:rFonts w:ascii="Arial" w:cs="Arial" w:eastAsia="Arial" w:hAnsi="Arial"/>
          <w:sz w:val="17"/>
          <w:szCs w:val="17"/>
          <w:u w:val="single" w:color="auto"/>
          <w:color w:val="auto"/>
        </w:rPr>
        <w:t>Counting Votes and Recording Action of Meetings</w:t>
      </w:r>
      <w:r>
        <w:rPr>
          <w:rFonts w:ascii="Arial" w:cs="Arial" w:eastAsia="Arial" w:hAnsi="Arial"/>
          <w:sz w:val="17"/>
          <w:szCs w:val="17"/>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SIXTEEN - CONVERSION OF SECURITIES</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1601. </w:t>
      </w:r>
      <w:r>
        <w:rPr>
          <w:rFonts w:ascii="Arial" w:cs="Arial" w:eastAsia="Arial" w:hAnsi="Arial"/>
          <w:sz w:val="17"/>
          <w:szCs w:val="17"/>
          <w:u w:val="single" w:color="auto"/>
          <w:color w:val="auto"/>
        </w:rPr>
        <w:t>Applicability of Article; Conversion Privilege and Conversion Price</w:t>
      </w:r>
      <w:r>
        <w:rPr>
          <w:rFonts w:ascii="Arial" w:cs="Arial" w:eastAsia="Arial" w:hAnsi="Arial"/>
          <w:sz w:val="17"/>
          <w:szCs w:val="17"/>
          <w:color w:val="auto"/>
        </w:rPr>
        <w:t>. Securities of any series which are convertible shall be convertible in accordance with their terms and (except as otherwise specified as contemplated by Section 301 for Securities of any series) in accordance with this Article Sixteen. Subject to and upon compliance with the provisions of this Article Sixteen,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82"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1604.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In case the Company shall, by dividend or otherwise, declare or make a distribution on its Common Stock referred to in paragraph (4) of Section 1604, the Holder of each Security, upon the conversion thereof pursuant to this Article Sixteen subsequent to the close of business on the date fixed for the determination of stockholders entitled to receive such distribution and prior to the effectiveness of the Conversion Price adjustment in respect of such distribution pursuant to paragraph (4) of Section 1604, shall be entitled to receive for each share of Common Stock into which such Security is converted, the portion of the evidence of indebtedness, shares of Capital Stock or assets so distributed applicable to one share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ectPr>
          <w:pgSz w:w="11900" w:h="16838" w:orient="portrait"/>
          <w:cols w:equalWidth="0" w:num="1">
            <w:col w:w="11420"/>
          </w:cols>
          <w:pgMar w:left="240" w:top="125" w:right="239" w:bottom="0" w:gutter="0" w:footer="0" w:header="0"/>
        </w:sectPr>
      </w:pPr>
    </w:p>
    <w:bookmarkStart w:id="87" w:name="page88"/>
    <w:bookmarkEnd w:id="87"/>
    <w:p>
      <w:pPr>
        <w:spacing w:after="0" w:line="39"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SECTION 1602. </w:t>
      </w:r>
      <w:r>
        <w:rPr>
          <w:rFonts w:ascii="Arial" w:cs="Arial" w:eastAsia="Arial" w:hAnsi="Arial"/>
          <w:sz w:val="17"/>
          <w:szCs w:val="17"/>
          <w:u w:val="single" w:color="auto"/>
          <w:color w:val="auto"/>
        </w:rPr>
        <w:t>Exercise of Conversion Privilege</w:t>
      </w:r>
      <w:r>
        <w:rPr>
          <w:rFonts w:ascii="Arial" w:cs="Arial" w:eastAsia="Arial" w:hAnsi="Arial"/>
          <w:sz w:val="17"/>
          <w:szCs w:val="17"/>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7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88"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1603.</w:t>
      </w:r>
    </w:p>
    <w:p>
      <w:pPr>
        <w:spacing w:after="0" w:line="193"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7"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u w:val="single" w:color="auto"/>
          <w:color w:val="auto"/>
        </w:rPr>
        <w:t>Fractions of Shares</w:t>
      </w:r>
      <w:r>
        <w:rPr>
          <w:rFonts w:ascii="Arial" w:cs="Arial" w:eastAsia="Arial" w:hAnsi="Arial"/>
          <w:sz w:val="18"/>
          <w:szCs w:val="18"/>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 The Conversion Price shall be subject to adjustment from time to time as follows:</w:t>
      </w:r>
    </w:p>
    <w:p>
      <w:pPr>
        <w:spacing w:after="0" w:line="225" w:lineRule="exact"/>
        <w:rPr>
          <w:sz w:val="20"/>
          <w:szCs w:val="20"/>
          <w:color w:val="auto"/>
        </w:rPr>
      </w:pPr>
    </w:p>
    <w:p>
      <w:pPr>
        <w:ind w:left="440" w:right="60" w:firstLine="449"/>
        <w:spacing w:after="0" w:line="270" w:lineRule="auto"/>
        <w:tabs>
          <w:tab w:leader="none" w:pos="113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177" w:lineRule="exact"/>
        <w:rPr>
          <w:rFonts w:ascii="Arial" w:cs="Arial" w:eastAsia="Arial" w:hAnsi="Arial"/>
          <w:sz w:val="17"/>
          <w:szCs w:val="17"/>
          <w:color w:val="auto"/>
        </w:rPr>
      </w:pPr>
    </w:p>
    <w:p>
      <w:pPr>
        <w:ind w:left="440" w:right="20" w:firstLine="449"/>
        <w:spacing w:after="0" w:line="268" w:lineRule="auto"/>
        <w:tabs>
          <w:tab w:leader="none" w:pos="113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1604,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1604) of the Common Stock of the Company on the Rights Record Date.</w:t>
      </w:r>
    </w:p>
    <w:p>
      <w:pPr>
        <w:spacing w:after="0" w:line="180" w:lineRule="exact"/>
        <w:rPr>
          <w:rFonts w:ascii="Arial" w:cs="Arial" w:eastAsia="Arial" w:hAnsi="Arial"/>
          <w:sz w:val="17"/>
          <w:szCs w:val="17"/>
          <w:color w:val="auto"/>
        </w:rPr>
      </w:pPr>
    </w:p>
    <w:p>
      <w:pPr>
        <w:ind w:left="440" w:right="20" w:firstLine="449"/>
        <w:spacing w:after="0" w:line="302" w:lineRule="auto"/>
        <w:tabs>
          <w:tab w:leader="none" w:pos="113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w:t>
      </w:r>
    </w:p>
    <w:p>
      <w:pPr>
        <w:sectPr>
          <w:pgSz w:w="11900" w:h="16877" w:orient="portrait"/>
          <w:cols w:equalWidth="0" w:num="1">
            <w:col w:w="11420"/>
          </w:cols>
          <w:pgMar w:left="240" w:top="125" w:right="239" w:bottom="0" w:gutter="0" w:footer="0" w:header="0"/>
        </w:sectPr>
      </w:pPr>
    </w:p>
    <w:bookmarkStart w:id="88" w:name="page89"/>
    <w:bookmarkEnd w:id="88"/>
    <w:p>
      <w:pPr>
        <w:ind w:right="540"/>
        <w:spacing w:after="0" w:line="277" w:lineRule="auto"/>
        <w:rPr>
          <w:sz w:val="20"/>
          <w:szCs w:val="20"/>
          <w:color w:val="auto"/>
        </w:rPr>
      </w:pPr>
      <w:r>
        <w:rPr>
          <w:rFonts w:ascii="Arial" w:cs="Arial" w:eastAsia="Arial" w:hAnsi="Arial"/>
          <w:sz w:val="18"/>
          <w:szCs w:val="18"/>
          <w:color w:val="auto"/>
        </w:rPr>
        <w:t>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70" w:lineRule="exact"/>
        <w:rPr>
          <w:sz w:val="20"/>
          <w:szCs w:val="20"/>
          <w:color w:val="auto"/>
        </w:rPr>
      </w:pPr>
    </w:p>
    <w:p>
      <w:pPr>
        <w:ind w:right="20" w:firstLine="449"/>
        <w:spacing w:after="0" w:line="293" w:lineRule="auto"/>
        <w:tabs>
          <w:tab w:leader="none" w:pos="69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1604 applies), the Conversion Price shall be reduced by multiplying such Conversion Price by a fraction of which the numerator shall be the current market price per share (determined as provided in paragraph (7) of this Section 1604) of the Common Stock of the Company on the Reference Date (as defined below) less the fair market value (as determined in good</w:t>
      </w:r>
    </w:p>
    <w:p>
      <w:pPr>
        <w:spacing w:after="0" w:line="16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1606(a).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1604. In the event that, with respect to any distribution to which this paragraph (4) of Section 1604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1611 shall apply with respect to such Unadjusted Distribution.</w:t>
      </w:r>
    </w:p>
    <w:p>
      <w:pPr>
        <w:spacing w:after="0" w:line="180" w:lineRule="exact"/>
        <w:rPr>
          <w:sz w:val="20"/>
          <w:szCs w:val="20"/>
          <w:color w:val="auto"/>
        </w:rPr>
      </w:pPr>
    </w:p>
    <w:p>
      <w:pPr>
        <w:ind w:left="700" w:hanging="251"/>
        <w:spacing w:after="0"/>
        <w:tabs>
          <w:tab w:leader="none" w:pos="7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Company may, but shall not be required to, make such reductions in the Conversion Price, in addition to those required by paragraphs (1),</w:t>
      </w:r>
    </w:p>
    <w:p>
      <w:pPr>
        <w:spacing w:after="0" w:line="46" w:lineRule="exact"/>
        <w:rPr>
          <w:rFonts w:ascii="Arial" w:cs="Arial" w:eastAsia="Arial" w:hAnsi="Arial"/>
          <w:sz w:val="16"/>
          <w:szCs w:val="16"/>
          <w:color w:val="auto"/>
        </w:rPr>
      </w:pPr>
    </w:p>
    <w:p>
      <w:pPr>
        <w:ind w:right="400"/>
        <w:spacing w:after="0" w:line="273" w:lineRule="auto"/>
        <w:rPr>
          <w:rFonts w:ascii="Arial" w:cs="Arial" w:eastAsia="Arial" w:hAnsi="Arial"/>
          <w:sz w:val="16"/>
          <w:szCs w:val="16"/>
          <w:color w:val="auto"/>
        </w:rPr>
      </w:pPr>
      <w:r>
        <w:rPr>
          <w:rFonts w:ascii="Arial" w:cs="Arial" w:eastAsia="Arial" w:hAnsi="Arial"/>
          <w:sz w:val="17"/>
          <w:szCs w:val="17"/>
          <w:color w:val="auto"/>
        </w:rPr>
        <w:t>(2), (3), and (4) of this Section 1604,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176" w:lineRule="exact"/>
        <w:rPr>
          <w:rFonts w:ascii="Arial" w:cs="Arial" w:eastAsia="Arial" w:hAnsi="Arial"/>
          <w:sz w:val="16"/>
          <w:szCs w:val="16"/>
          <w:color w:val="auto"/>
        </w:rPr>
      </w:pPr>
    </w:p>
    <w:p>
      <w:pPr>
        <w:ind w:right="220" w:firstLine="449"/>
        <w:spacing w:after="0" w:line="291" w:lineRule="auto"/>
        <w:tabs>
          <w:tab w:leader="none" w:pos="696" w:val="left"/>
        </w:tabs>
        <w:numPr>
          <w:ilvl w:val="1"/>
          <w:numId w:val="121"/>
        </w:numPr>
        <w:rPr>
          <w:rFonts w:ascii="Arial" w:cs="Arial" w:eastAsia="Arial" w:hAnsi="Arial"/>
          <w:sz w:val="16"/>
          <w:szCs w:val="16"/>
          <w:color w:val="auto"/>
        </w:rPr>
      </w:pPr>
      <w:r>
        <w:rPr>
          <w:rFonts w:ascii="Arial" w:cs="Arial" w:eastAsia="Arial" w:hAnsi="Arial"/>
          <w:sz w:val="16"/>
          <w:szCs w:val="16"/>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w:t>
      </w:r>
    </w:p>
    <w:p>
      <w:pPr>
        <w:ind w:left="280" w:hanging="272"/>
        <w:spacing w:after="0"/>
        <w:tabs>
          <w:tab w:leader="none" w:pos="2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are not exercisable and (iii) are also issued or distributed in respect of future issuances of Common Stock, in each case in clauses (i) through</w:t>
      </w:r>
    </w:p>
    <w:p>
      <w:pPr>
        <w:spacing w:after="0" w:line="20" w:lineRule="exact"/>
        <w:rPr>
          <w:rFonts w:ascii="Arial" w:cs="Arial" w:eastAsia="Arial" w:hAnsi="Arial"/>
          <w:sz w:val="17"/>
          <w:szCs w:val="17"/>
          <w:color w:val="auto"/>
        </w:rPr>
      </w:pPr>
    </w:p>
    <w:p>
      <w:pPr>
        <w:ind w:right="60" w:firstLine="8"/>
        <w:spacing w:after="0" w:line="268" w:lineRule="auto"/>
        <w:tabs>
          <w:tab w:leader="none" w:pos="31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until the occurrence of a specified event or events (“Trigger Events”), shall for purposes of this Section 1604 not be deemed issued or distributed until the occurrence of the earliest Trigger Event. Each share of Common Stock issued upon conversion of Securities pursuant to this Article Sixteen shall be entitled to receive the appropriate number of Common Stock purchase rights (the “Rights”), if any, and the certificates representing the Common Stock issued upon conversion shall bear such legends, if any. Notwithstanding anything to the contrary in this Article Sixteen,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184" w:lineRule="exact"/>
        <w:rPr>
          <w:rFonts w:ascii="Arial" w:cs="Arial" w:eastAsia="Arial" w:hAnsi="Arial"/>
          <w:sz w:val="17"/>
          <w:szCs w:val="17"/>
          <w:color w:val="auto"/>
        </w:rPr>
      </w:pPr>
    </w:p>
    <w:p>
      <w:pPr>
        <w:ind w:right="260" w:firstLine="449"/>
        <w:spacing w:after="0" w:line="286" w:lineRule="auto"/>
        <w:tabs>
          <w:tab w:leader="none" w:pos="696" w:val="left"/>
        </w:tabs>
        <w:numPr>
          <w:ilvl w:val="1"/>
          <w:numId w:val="122"/>
        </w:numPr>
        <w:rPr>
          <w:rFonts w:ascii="Arial" w:cs="Arial" w:eastAsia="Arial" w:hAnsi="Arial"/>
          <w:sz w:val="17"/>
          <w:szCs w:val="17"/>
          <w:color w:val="auto"/>
        </w:rPr>
      </w:pPr>
      <w:r>
        <w:rPr>
          <w:rFonts w:ascii="Arial" w:cs="Arial" w:eastAsia="Arial" w:hAnsi="Arial"/>
          <w:sz w:val="17"/>
          <w:szCs w:val="17"/>
          <w:color w:val="auto"/>
        </w:rPr>
        <w:t>For the purpose of any computation under paragraph (2), (4) or (5) of this Section 1604,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65" w:lineRule="exact"/>
        <w:rPr>
          <w:rFonts w:ascii="Arial" w:cs="Arial" w:eastAsia="Arial" w:hAnsi="Arial"/>
          <w:sz w:val="17"/>
          <w:szCs w:val="17"/>
          <w:color w:val="auto"/>
        </w:rPr>
      </w:pPr>
    </w:p>
    <w:p>
      <w:pPr>
        <w:ind w:right="100" w:firstLine="449"/>
        <w:spacing w:after="0" w:line="259" w:lineRule="auto"/>
        <w:tabs>
          <w:tab w:leader="none" w:pos="69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No adjustment in the Conversion Price shall be required unless such adjustment would require an increase or decrease of at least 1% in the Conversion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adjustments which by reason of this paragraph (8) are not required to be made shall be carried forward and taken into account in any subsequent adjustment. All calculations under this Article Sixteen shall be made to the nearest cent or to the nearest one-hundredth of a share of Common Stock, as the case may be.</w:t>
      </w:r>
    </w:p>
    <w:p>
      <w:pPr>
        <w:spacing w:after="0" w:line="186" w:lineRule="exact"/>
        <w:rPr>
          <w:rFonts w:ascii="Arial" w:cs="Arial" w:eastAsia="Arial" w:hAnsi="Arial"/>
          <w:sz w:val="18"/>
          <w:szCs w:val="18"/>
          <w:color w:val="auto"/>
        </w:rPr>
      </w:pPr>
    </w:p>
    <w:p>
      <w:pPr>
        <w:ind w:right="20" w:firstLine="449"/>
        <w:spacing w:after="0" w:line="255" w:lineRule="auto"/>
        <w:tabs>
          <w:tab w:leader="none" w:pos="68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Sixteen) had such dividend or distribution never been declared.</w:t>
      </w:r>
    </w:p>
    <w:p>
      <w:pPr>
        <w:spacing w:after="0" w:line="193" w:lineRule="exact"/>
        <w:rPr>
          <w:rFonts w:ascii="Arial" w:cs="Arial" w:eastAsia="Arial" w:hAnsi="Arial"/>
          <w:sz w:val="18"/>
          <w:szCs w:val="18"/>
          <w:color w:val="auto"/>
        </w:rPr>
      </w:pPr>
    </w:p>
    <w:p>
      <w:pPr>
        <w:ind w:right="240" w:firstLine="449"/>
        <w:spacing w:after="0" w:line="277" w:lineRule="auto"/>
        <w:tabs>
          <w:tab w:leader="none" w:pos="78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1604, no adjustment to the Conversion Price shall reduce the Conversion Price below the then par value per share of the Common Stock of the Company, and any such purported adjustment</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181" w:lineRule="exact"/>
        <w:rPr>
          <w:sz w:val="20"/>
          <w:szCs w:val="20"/>
          <w:color w:val="auto"/>
        </w:rPr>
      </w:pPr>
    </w:p>
    <w:p>
      <w:pPr>
        <w:ind w:right="240" w:firstLine="449"/>
        <w:spacing w:after="0" w:line="286" w:lineRule="auto"/>
        <w:tabs>
          <w:tab w:leader="none" w:pos="77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the event that this Article Sixteen requires adjustments to the Conversion Price under more than one of paragraphs (1), (2), (3) or (4) of this Section 1604, and the record or effective dates for the transaction giving rise to such adjustments shall occur on the same date, then such adjustments shall be made by applying (to the extent they are applicable), first, the provisions of paragraph (3) of this Section 1604, second, the provisions of paragraph (1) of this Section 1604, third, the provisions of paragraph (4) of this Section 1604 and, fourth, the provisions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paragraph (2) of this Section 1604. Anything herein to the contrary notwithstanding, no single event shall require or result in duplicative adjustments in</w:t>
      </w:r>
    </w:p>
    <w:p>
      <w:pPr>
        <w:sectPr>
          <w:pgSz w:w="11900" w:h="16838" w:orient="portrait"/>
          <w:cols w:equalWidth="0" w:num="1">
            <w:col w:w="10960"/>
          </w:cols>
          <w:pgMar w:left="680" w:top="125" w:right="259" w:bottom="0" w:gutter="0" w:footer="0" w:header="0"/>
        </w:sectPr>
      </w:pPr>
    </w:p>
    <w:bookmarkStart w:id="89" w:name="page90"/>
    <w:bookmarkEnd w:id="89"/>
    <w:p>
      <w:pPr>
        <w:ind w:left="440" w:right="120"/>
        <w:spacing w:after="0" w:line="257" w:lineRule="auto"/>
        <w:rPr>
          <w:sz w:val="20"/>
          <w:szCs w:val="20"/>
          <w:color w:val="auto"/>
        </w:rPr>
      </w:pPr>
      <w:r>
        <w:rPr>
          <w:rFonts w:ascii="Arial" w:cs="Arial" w:eastAsia="Arial" w:hAnsi="Arial"/>
          <w:sz w:val="18"/>
          <w:szCs w:val="18"/>
          <w:color w:val="auto"/>
        </w:rPr>
        <w:t>the Conversion Price pursuant to this Section 1604. After an adjustment to the Conversion Price under this Article Sixteen, any subsequent event requiring an adjustment under this Article Sixteen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Sixteen with respect to the Common Stock in this Article Sixteen.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1605. </w:t>
      </w:r>
      <w:r>
        <w:rPr>
          <w:rFonts w:ascii="Arial" w:cs="Arial" w:eastAsia="Arial" w:hAnsi="Arial"/>
          <w:sz w:val="18"/>
          <w:szCs w:val="18"/>
          <w:u w:val="single" w:color="auto"/>
          <w:color w:val="auto"/>
        </w:rPr>
        <w:t>Notice of Adjustments of Conversion Price</w:t>
      </w:r>
      <w:r>
        <w:rPr>
          <w:rFonts w:ascii="Arial" w:cs="Arial" w:eastAsia="Arial" w:hAnsi="Arial"/>
          <w:sz w:val="18"/>
          <w:szCs w:val="18"/>
          <w:color w:val="auto"/>
        </w:rPr>
        <w:t>. Whenever the Conversion Price is adjusted as herein provided:</w:t>
      </w:r>
    </w:p>
    <w:p>
      <w:pPr>
        <w:spacing w:after="0" w:line="225" w:lineRule="exact"/>
        <w:rPr>
          <w:sz w:val="20"/>
          <w:szCs w:val="20"/>
          <w:color w:val="auto"/>
        </w:rPr>
      </w:pPr>
    </w:p>
    <w:p>
      <w:pPr>
        <w:ind w:left="440" w:right="320" w:firstLine="449"/>
        <w:spacing w:after="0" w:line="259" w:lineRule="auto"/>
        <w:tabs>
          <w:tab w:leader="none" w:pos="11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compute the adjusted Conversion Price in accordance with Section 1604 or Section 1611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86" w:lineRule="exact"/>
        <w:rPr>
          <w:rFonts w:ascii="Arial" w:cs="Arial" w:eastAsia="Arial" w:hAnsi="Arial"/>
          <w:sz w:val="18"/>
          <w:szCs w:val="18"/>
          <w:color w:val="auto"/>
        </w:rPr>
      </w:pPr>
    </w:p>
    <w:p>
      <w:pPr>
        <w:ind w:left="440" w:right="80" w:firstLine="449"/>
        <w:spacing w:after="0" w:line="264" w:lineRule="auto"/>
        <w:tabs>
          <w:tab w:leader="none" w:pos="11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Notice of Certain Corporate Action</w:t>
      </w:r>
      <w:r>
        <w:rPr>
          <w:rFonts w:ascii="Arial" w:cs="Arial" w:eastAsia="Arial" w:hAnsi="Arial"/>
          <w:sz w:val="18"/>
          <w:szCs w:val="18"/>
          <w:color w:val="auto"/>
        </w:rPr>
        <w:t>. In case:</w:t>
      </w:r>
    </w:p>
    <w:p>
      <w:pPr>
        <w:spacing w:after="0" w:line="225" w:lineRule="exact"/>
        <w:rPr>
          <w:sz w:val="20"/>
          <w:szCs w:val="20"/>
          <w:color w:val="auto"/>
        </w:rPr>
      </w:pPr>
    </w:p>
    <w:p>
      <w:pPr>
        <w:ind w:left="1140" w:hanging="251"/>
        <w:spacing w:after="0"/>
        <w:tabs>
          <w:tab w:leader="none" w:pos="11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 shall take any action that would require a Conversion Price adjustment pursuant to Section 1604 or Section 1611; or</w:t>
      </w:r>
    </w:p>
    <w:p>
      <w:pPr>
        <w:spacing w:after="0" w:line="236" w:lineRule="exact"/>
        <w:rPr>
          <w:rFonts w:ascii="Arial" w:cs="Arial" w:eastAsia="Arial" w:hAnsi="Arial"/>
          <w:sz w:val="17"/>
          <w:szCs w:val="17"/>
          <w:color w:val="auto"/>
        </w:rPr>
      </w:pPr>
    </w:p>
    <w:p>
      <w:pPr>
        <w:ind w:left="440" w:right="60" w:firstLine="449"/>
        <w:spacing w:after="0" w:line="264" w:lineRule="auto"/>
        <w:tabs>
          <w:tab w:leader="none" w:pos="11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181" w:lineRule="exact"/>
        <w:rPr>
          <w:rFonts w:ascii="Arial" w:cs="Arial" w:eastAsia="Arial" w:hAnsi="Arial"/>
          <w:sz w:val="18"/>
          <w:szCs w:val="18"/>
          <w:color w:val="auto"/>
        </w:rPr>
      </w:pPr>
    </w:p>
    <w:p>
      <w:pPr>
        <w:ind w:left="440" w:right="20" w:firstLine="449"/>
        <w:spacing w:after="0" w:line="270" w:lineRule="auto"/>
        <w:tabs>
          <w:tab w:leader="none" w:pos="113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82"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Company to Reserve Common Stock</w:t>
      </w:r>
      <w:r>
        <w:rPr>
          <w:rFonts w:ascii="Arial" w:cs="Arial" w:eastAsia="Arial" w:hAnsi="Arial"/>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8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Taxes on Conversion</w:t>
      </w:r>
      <w:r>
        <w:rPr>
          <w:rFonts w:ascii="Arial" w:cs="Arial" w:eastAsia="Arial" w:hAnsi="Arial"/>
          <w:sz w:val="18"/>
          <w:szCs w:val="18"/>
          <w:color w:val="auto"/>
        </w:rPr>
        <w:t>. The Company will pay any and all taxes that may be payable in respect of the issue or delivery of shares of Common Stock on conversion of Securities pursuant hereto. The Company shall not, however, be required to pay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66"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Covenants as to Common Stock</w:t>
      </w:r>
      <w:r>
        <w:rPr>
          <w:rFonts w:ascii="Arial" w:cs="Arial" w:eastAsia="Arial" w:hAnsi="Arial"/>
          <w:sz w:val="18"/>
          <w:szCs w:val="18"/>
          <w:color w:val="auto"/>
        </w:rPr>
        <w:t>. The Company covenants that all shares of Common Stock which may be issued upon conversion of Securities will upon issue be duly and validly issued, fully paid and nonassessable, free of preemptive or any similar rights, and, except as provided in Section 1608, the Company will pay all taxes, liens and charges with respect to the issue thereof.</w:t>
      </w:r>
    </w:p>
    <w:p>
      <w:pPr>
        <w:spacing w:after="0" w:line="181"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Cancellation of Converted Securities</w:t>
      </w:r>
      <w:r>
        <w:rPr>
          <w:rFonts w:ascii="Arial" w:cs="Arial" w:eastAsia="Arial" w:hAnsi="Arial"/>
          <w:sz w:val="18"/>
          <w:szCs w:val="18"/>
          <w:color w:val="auto"/>
        </w:rPr>
        <w:t>. All Securities delivered for conversion shall be delivered to the Trustee to be cancelled by or at the direction of the Trustee, which shall dispose of the same as provided in Section 309.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SECTION 1611. </w:t>
      </w:r>
      <w:r>
        <w:rPr>
          <w:rFonts w:ascii="Arial" w:cs="Arial" w:eastAsia="Arial" w:hAnsi="Arial"/>
          <w:sz w:val="17"/>
          <w:szCs w:val="17"/>
          <w:u w:val="single" w:color="auto"/>
          <w:color w:val="auto"/>
        </w:rPr>
        <w:t>Provisions in Case of Consolidation, Merger or Sale of Assets; Special Distributions</w:t>
      </w:r>
      <w:r>
        <w:rPr>
          <w:rFonts w:ascii="Arial" w:cs="Arial" w:eastAsia="Arial" w:hAnsi="Arial"/>
          <w:sz w:val="17"/>
          <w:szCs w:val="17"/>
          <w:color w:val="auto"/>
        </w:rPr>
        <w:t>. If any of the following shall occur, namely:</w:t>
      </w:r>
    </w:p>
    <w:p>
      <w:pPr>
        <w:spacing w:after="0" w:line="35" w:lineRule="exact"/>
        <w:rPr>
          <w:sz w:val="20"/>
          <w:szCs w:val="20"/>
          <w:color w:val="auto"/>
        </w:rPr>
      </w:pPr>
    </w:p>
    <w:p>
      <w:pPr>
        <w:ind w:firstLine="8"/>
        <w:spacing w:after="0" w:line="285" w:lineRule="auto"/>
        <w:tabs>
          <w:tab w:leader="none" w:pos="21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1601,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ectPr>
          <w:pgSz w:w="11900" w:h="16838" w:orient="portrait"/>
          <w:cols w:equalWidth="0" w:num="1">
            <w:col w:w="11420"/>
          </w:cols>
          <w:pgMar w:left="240" w:top="125" w:right="239" w:bottom="47" w:gutter="0" w:footer="0" w:header="0"/>
        </w:sectPr>
      </w:pPr>
    </w:p>
    <w:bookmarkStart w:id="90" w:name="page91"/>
    <w:bookmarkEnd w:id="90"/>
    <w:p>
      <w:pPr>
        <w:spacing w:after="0" w:line="50" w:lineRule="exact"/>
        <w:rPr>
          <w:sz w:val="20"/>
          <w:szCs w:val="20"/>
          <w:color w:val="auto"/>
        </w:rPr>
      </w:pPr>
    </w:p>
    <w:p>
      <w:pPr>
        <w:jc w:val="both"/>
        <w:ind w:left="440" w:right="140" w:firstLine="449"/>
        <w:spacing w:after="0" w:line="264" w:lineRule="auto"/>
        <w:tabs>
          <w:tab w:leader="none" w:pos="11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181" w:lineRule="exact"/>
        <w:rPr>
          <w:rFonts w:ascii="Arial" w:cs="Arial" w:eastAsia="Arial" w:hAnsi="Arial"/>
          <w:sz w:val="18"/>
          <w:szCs w:val="18"/>
          <w:color w:val="auto"/>
        </w:rPr>
      </w:pPr>
    </w:p>
    <w:p>
      <w:pPr>
        <w:jc w:val="both"/>
        <w:ind w:left="440" w:right="20" w:firstLine="449"/>
        <w:spacing w:after="0" w:line="255" w:lineRule="auto"/>
        <w:tabs>
          <w:tab w:leader="none" w:pos="11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1611 the kind and amount of securities, cash and other property receivable upon such consolidation, merger, sale, transfer or lease shall be deemed to be the kind and amount so receivable per share by a plurality of such shares of Common Stock).</w:t>
      </w:r>
    </w:p>
    <w:p>
      <w:pPr>
        <w:spacing w:after="0" w:line="193"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Such supplemental indenture shall provide for adjustments which, for events subsequent to the effective date of such supplemental indenture, shall be as nearly equivalent as may be practicable to the adjustments provided for in this Article Sixteen.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1611 shall similarly apply to successive consolidations, mergers, sales, transfers or leases.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In the event the Company shall execute a supplemental indenture pursuant to this Section 1611,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If the Company makes a distribution to all holders of its Common Stock that constitutes an Unadjusted Distribution pursuant to the last sentence of paragraph (4) of Section 1604,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78" w:lineRule="exact"/>
        <w:rPr>
          <w:sz w:val="20"/>
          <w:szCs w:val="20"/>
          <w:color w:val="auto"/>
        </w:rPr>
      </w:pPr>
    </w:p>
    <w:p>
      <w:pPr>
        <w:ind w:right="160" w:firstLine="441"/>
        <w:spacing w:after="0" w:line="285" w:lineRule="auto"/>
        <w:rPr>
          <w:sz w:val="20"/>
          <w:szCs w:val="20"/>
          <w:color w:val="auto"/>
        </w:rPr>
      </w:pPr>
      <w:r>
        <w:rPr>
          <w:rFonts w:ascii="Arial" w:cs="Arial" w:eastAsia="Arial" w:hAnsi="Arial"/>
          <w:sz w:val="16"/>
          <w:szCs w:val="16"/>
          <w:color w:val="auto"/>
        </w:rPr>
        <w:t xml:space="preserve">SECTION 1612. </w:t>
      </w:r>
      <w:r>
        <w:rPr>
          <w:rFonts w:ascii="Arial" w:cs="Arial" w:eastAsia="Arial" w:hAnsi="Arial"/>
          <w:sz w:val="16"/>
          <w:szCs w:val="16"/>
          <w:u w:val="single" w:color="auto"/>
          <w:color w:val="auto"/>
        </w:rPr>
        <w:t>Trustee Adjustment Disclaimer; Company Determination Final</w:t>
      </w:r>
      <w:r>
        <w:rPr>
          <w:rFonts w:ascii="Arial" w:cs="Arial" w:eastAsia="Arial" w:hAnsi="Arial"/>
          <w:sz w:val="16"/>
          <w:szCs w:val="16"/>
          <w:color w:val="auto"/>
        </w:rPr>
        <w:t>. The Trustee has no duty to determine when an adjustment under this Article Sixteen should be made, how it should be made or what it should be. The Trustee has no duty to determine whether a supplemental indenture under Section 1611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Sixteen. Any determination that the Company or the Board of Directors must make pursuant to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Article Sixteen is conclusive, absent manifest error.</w:t>
      </w:r>
    </w:p>
    <w:p>
      <w:pPr>
        <w:spacing w:after="0" w:line="21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When No Adjustment Required</w:t>
      </w:r>
      <w:r>
        <w:rPr>
          <w:rFonts w:ascii="Arial" w:cs="Arial" w:eastAsia="Arial" w:hAnsi="Arial"/>
          <w:sz w:val="18"/>
          <w:szCs w:val="18"/>
          <w:color w:val="auto"/>
        </w:rPr>
        <w:t>. Except as expressly set forth in Section 1604,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7" w:lineRule="exact"/>
        <w:rPr>
          <w:sz w:val="20"/>
          <w:szCs w:val="20"/>
          <w:color w:val="auto"/>
        </w:rPr>
      </w:pPr>
    </w:p>
    <w:p>
      <w:pPr>
        <w:jc w:val="both"/>
        <w:ind w:left="440" w:right="120" w:firstLine="449"/>
        <w:spacing w:after="0" w:line="259" w:lineRule="auto"/>
        <w:tabs>
          <w:tab w:leader="none" w:pos="113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 adjustment in the Conversion Price shall be made pursuant to Section 1604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7"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 xml:space="preserve">SECTION 1614. </w:t>
      </w:r>
      <w:r>
        <w:rPr>
          <w:rFonts w:ascii="Arial" w:cs="Arial" w:eastAsia="Arial" w:hAnsi="Arial"/>
          <w:sz w:val="16"/>
          <w:szCs w:val="16"/>
          <w:u w:val="single" w:color="auto"/>
          <w:color w:val="auto"/>
        </w:rPr>
        <w:t>Equivalent Adjustments</w:t>
      </w:r>
      <w:r>
        <w:rPr>
          <w:rFonts w:ascii="Arial" w:cs="Arial" w:eastAsia="Arial" w:hAnsi="Arial"/>
          <w:sz w:val="16"/>
          <w:szCs w:val="16"/>
          <w:color w:val="auto"/>
        </w:rPr>
        <w:t>. In the event that, as a result of an adjustment made pursuant to Section 1604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Sixteen.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ESPERION THERAPEUTICS,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107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-130810</wp:posOffset>
            </wp:positionV>
            <wp:extent cx="31559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ectPr>
          <w:pgSz w:w="11900" w:h="16888" w:orient="portrait"/>
          <w:cols w:equalWidth="0" w:num="1">
            <w:col w:w="11420"/>
          </w:cols>
          <w:pgMar w:left="240" w:top="125" w:right="239" w:bottom="0" w:gutter="0" w:footer="0" w:header="0"/>
        </w:sectPr>
      </w:pPr>
    </w:p>
    <w:bookmarkStart w:id="91" w:name="page92"/>
    <w:bookmarkEnd w:id="91"/>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REDEEMABLE OR NON-REDEEMABLE SENIOR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Holder of this Security (as indicated below) is The Depository Trust Company (“DTC”) or a nominee of DTC, this Security is a Global Security and the following two legends apply:</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8"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r>
        <w:rPr>
          <w:rFonts w:ascii="Arial" w:cs="Arial" w:eastAsia="Arial" w:hAnsi="Arial"/>
          <w:sz w:val="18"/>
          <w:szCs w:val="18"/>
          <w:color w:val="auto"/>
        </w:rPr>
        <w:t>]</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this Security is an Original Issue Discount Security, insert</w:t>
      </w:r>
      <w:r>
        <w:rPr>
          <w:rFonts w:ascii="Arial" w:cs="Arial" w:eastAsia="Arial" w:hAnsi="Arial"/>
          <w:sz w:val="18"/>
          <w:szCs w:val="18"/>
          <w:color w:val="auto"/>
        </w:rPr>
        <w:t xml:space="preserve"> — FOR PURPOSES OF SECTION 1273 and 1275 OF THE UNITED STATES INTERNAL REVENUE CODE, THE AMOUNT OF ORIGINAL ISSUE DISCOUNT ON THIS SECURITY IS % OF ITS PRINCIPAL AMOUNT, THE ISSUE DATE IS , 20 , AND THE YIELD TO MATURITY IS %. THE METHOD USED TO DETERMINE THE AMOUNT OF ORIGINAL ISSUE DISCOUNT APPLICABLE TO THE SHORT ACCRUAL PERIOD OF , 20 TO , 20 , IS % OF THE PRINCIPAL AMOUNT OF THIS SECURITY.]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ESPERION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[Designation of Series]</w:t>
      </w:r>
    </w:p>
    <w:p>
      <w:pPr>
        <w:sectPr>
          <w:pgSz w:w="11900" w:h="16888"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888" w:orient="portrait"/>
          <w:cols w:equalWidth="0" w:num="2">
            <w:col w:w="10120" w:space="720"/>
            <w:col w:w="580"/>
          </w:cols>
          <w:pgMar w:left="240" w:top="125"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CUSIP No.</w:t>
      </w:r>
    </w:p>
    <w:p>
      <w:pPr>
        <w:sectPr>
          <w:pgSz w:w="11900" w:h="16888" w:orient="portrait"/>
          <w:cols w:equalWidth="0" w:num="1">
            <w:col w:w="11420"/>
          </w:cols>
          <w:pgMar w:left="240" w:top="125" w:right="239"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ESPERION THERAPEUTICS, INC., a Delaware corporation (herein referred to as the “Company,” which term includes any successor corporation under the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gridSpan w:val="5"/>
          </w:tcPr>
          <w:p>
            <w:pPr>
              <w:spacing w:after="0"/>
              <w:rPr>
                <w:sz w:val="20"/>
                <w:szCs w:val="20"/>
                <w:color w:val="auto"/>
              </w:rPr>
            </w:pPr>
            <w:r>
              <w:rPr>
                <w:rFonts w:ascii="Arial" w:cs="Arial" w:eastAsia="Arial" w:hAnsi="Arial"/>
                <w:sz w:val="18"/>
                <w:szCs w:val="18"/>
                <w:color w:val="auto"/>
                <w:w w:val="96"/>
              </w:rPr>
              <w:t>Indenture referred to on the reverse hereof), for value received, hereby promises to pay to</w:t>
            </w:r>
          </w:p>
        </w:tc>
        <w:tc>
          <w:tcPr>
            <w:tcW w:w="4500" w:type="dxa"/>
            <w:vAlign w:val="bottom"/>
          </w:tcPr>
          <w:p>
            <w:pPr>
              <w:ind w:left="540"/>
              <w:spacing w:after="0"/>
              <w:rPr>
                <w:sz w:val="20"/>
                <w:szCs w:val="20"/>
                <w:color w:val="auto"/>
              </w:rPr>
            </w:pPr>
            <w:r>
              <w:rPr>
                <w:rFonts w:ascii="Arial" w:cs="Arial" w:eastAsia="Arial" w:hAnsi="Arial"/>
                <w:sz w:val="18"/>
                <w:szCs w:val="18"/>
                <w:color w:val="auto"/>
              </w:rPr>
              <w:t>or registered assigns the principal sum of</w:t>
            </w:r>
          </w:p>
        </w:tc>
      </w:tr>
      <w:tr>
        <w:trPr>
          <w:trHeight w:val="190"/>
        </w:trPr>
        <w:tc>
          <w:tcPr>
            <w:tcW w:w="1340" w:type="dxa"/>
            <w:vAlign w:val="bottom"/>
            <w:gridSpan w:val="2"/>
          </w:tcPr>
          <w:p>
            <w:pPr>
              <w:spacing w:after="0" w:line="190" w:lineRule="exact"/>
              <w:rPr>
                <w:sz w:val="20"/>
                <w:szCs w:val="20"/>
                <w:color w:val="auto"/>
              </w:rPr>
            </w:pPr>
            <w:r>
              <w:rPr>
                <w:rFonts w:ascii="Arial" w:cs="Arial" w:eastAsia="Arial" w:hAnsi="Arial"/>
                <w:sz w:val="18"/>
                <w:szCs w:val="18"/>
                <w:color w:val="auto"/>
              </w:rPr>
              <w:t>Dollars on</w:t>
            </w:r>
          </w:p>
        </w:tc>
        <w:tc>
          <w:tcPr>
            <w:tcW w:w="10060" w:type="dxa"/>
            <w:vAlign w:val="bottom"/>
            <w:gridSpan w:val="4"/>
          </w:tcPr>
          <w:p>
            <w:pPr>
              <w:ind w:left="420"/>
              <w:spacing w:after="0" w:line="190" w:lineRule="exact"/>
              <w:rPr>
                <w:sz w:val="20"/>
                <w:szCs w:val="20"/>
                <w:color w:val="auto"/>
              </w:rPr>
            </w:pPr>
            <w:r>
              <w:rPr>
                <w:rFonts w:ascii="Arial" w:cs="Arial" w:eastAsia="Arial" w:hAnsi="Arial"/>
                <w:sz w:val="18"/>
                <w:szCs w:val="18"/>
                <w:color w:val="auto"/>
                <w:w w:val="98"/>
              </w:rPr>
              <w:t>(the “Stated Maturity Date”) [or insert date fixed for earlier redemption (the “Redemption Date,” and together with the Stated</w:t>
            </w:r>
          </w:p>
        </w:tc>
      </w:tr>
      <w:tr>
        <w:trPr>
          <w:trHeight w:val="20"/>
        </w:trPr>
        <w:tc>
          <w:tcPr>
            <w:tcW w:w="60" w:type="dxa"/>
            <w:vAlign w:val="bottom"/>
          </w:tcPr>
          <w:p>
            <w:pPr>
              <w:spacing w:after="0" w:line="20" w:lineRule="exact"/>
              <w:rPr>
                <w:sz w:val="1"/>
                <w:szCs w:val="1"/>
                <w:color w:val="auto"/>
              </w:rPr>
            </w:pPr>
          </w:p>
        </w:tc>
        <w:tc>
          <w:tcPr>
            <w:tcW w:w="4060" w:type="dxa"/>
            <w:vAlign w:val="bottom"/>
            <w:tcBorders>
              <w:right w:val="single" w:sz="8" w:color="auto"/>
            </w:tcBorders>
            <w:gridSpan w:val="2"/>
          </w:tcPr>
          <w:p>
            <w:pPr>
              <w:spacing w:after="0" w:line="20" w:lineRule="exact"/>
              <w:rPr>
                <w:sz w:val="1"/>
                <w:szCs w:val="1"/>
                <w:color w:val="auto"/>
              </w:rPr>
            </w:pPr>
          </w:p>
        </w:tc>
        <w:tc>
          <w:tcPr>
            <w:tcW w:w="2780" w:type="dxa"/>
            <w:vAlign w:val="bottom"/>
            <w:gridSpan w:val="2"/>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37"/>
        </w:trPr>
        <w:tc>
          <w:tcPr>
            <w:tcW w:w="6900" w:type="dxa"/>
            <w:vAlign w:val="bottom"/>
            <w:gridSpan w:val="5"/>
          </w:tcPr>
          <w:p>
            <w:pPr>
              <w:spacing w:after="0"/>
              <w:rPr>
                <w:sz w:val="20"/>
                <w:szCs w:val="20"/>
                <w:color w:val="auto"/>
              </w:rPr>
            </w:pPr>
            <w:r>
              <w:rPr>
                <w:rFonts w:ascii="Arial" w:cs="Arial" w:eastAsia="Arial" w:hAnsi="Arial"/>
                <w:sz w:val="18"/>
                <w:szCs w:val="18"/>
                <w:color w:val="auto"/>
              </w:rPr>
              <w:t>Maturity Date with respect to principal repayable on such date, the “Maturity Date.”)]</w:t>
            </w:r>
          </w:p>
        </w:tc>
        <w:tc>
          <w:tcPr>
            <w:tcW w:w="4500" w:type="dxa"/>
            <w:vAlign w:val="bottom"/>
          </w:tcPr>
          <w:p>
            <w:pPr>
              <w:spacing w:after="0"/>
              <w:rPr>
                <w:sz w:val="20"/>
                <w:szCs w:val="20"/>
                <w:color w:val="auto"/>
              </w:rPr>
            </w:pPr>
          </w:p>
        </w:tc>
      </w:tr>
      <w:tr>
        <w:trPr>
          <w:trHeight w:val="392"/>
        </w:trPr>
        <w:tc>
          <w:tcPr>
            <w:tcW w:w="6900" w:type="dxa"/>
            <w:vAlign w:val="bottom"/>
            <w:gridSpan w:val="5"/>
          </w:tcPr>
          <w:p>
            <w:pPr>
              <w:spacing w:after="0"/>
              <w:rPr>
                <w:sz w:val="20"/>
                <w:szCs w:val="20"/>
                <w:color w:val="auto"/>
              </w:rPr>
            </w:pPr>
            <w:r>
              <w:rPr>
                <w:rFonts w:ascii="Arial" w:cs="Arial" w:eastAsia="Arial" w:hAnsi="Arial"/>
                <w:sz w:val="18"/>
                <w:szCs w:val="18"/>
                <w:color w:val="auto"/>
                <w:w w:val="94"/>
              </w:rPr>
              <w:t>[If the Security is to bear interest prior to Maturity, insert — and to pay interest thereon from</w:t>
            </w:r>
          </w:p>
        </w:tc>
        <w:tc>
          <w:tcPr>
            <w:tcW w:w="4500" w:type="dxa"/>
            <w:vAlign w:val="bottom"/>
          </w:tcPr>
          <w:p>
            <w:pPr>
              <w:ind w:left="780"/>
              <w:spacing w:after="0"/>
              <w:rPr>
                <w:sz w:val="20"/>
                <w:szCs w:val="20"/>
                <w:color w:val="auto"/>
              </w:rPr>
            </w:pPr>
            <w:r>
              <w:rPr>
                <w:rFonts w:ascii="Arial" w:cs="Arial" w:eastAsia="Arial" w:hAnsi="Arial"/>
                <w:sz w:val="18"/>
                <w:szCs w:val="18"/>
                <w:color w:val="auto"/>
                <w:w w:val="94"/>
              </w:rPr>
              <w:t>or from the most recent Interest Payment Date to</w:t>
            </w:r>
          </w:p>
        </w:tc>
      </w:tr>
      <w:tr>
        <w:trPr>
          <w:trHeight w:val="20"/>
        </w:trPr>
        <w:tc>
          <w:tcPr>
            <w:tcW w:w="60" w:type="dxa"/>
            <w:vAlign w:val="bottom"/>
          </w:tcPr>
          <w:p>
            <w:pPr>
              <w:spacing w:after="0" w:line="20" w:lineRule="exact"/>
              <w:rPr>
                <w:sz w:val="1"/>
                <w:szCs w:val="1"/>
                <w:color w:val="auto"/>
              </w:rPr>
            </w:pPr>
          </w:p>
        </w:tc>
        <w:tc>
          <w:tcPr>
            <w:tcW w:w="4060" w:type="dxa"/>
            <w:vAlign w:val="bottom"/>
            <w:tcBorders>
              <w:right w:val="single" w:sz="8" w:color="auto"/>
            </w:tcBorders>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22"/>
        </w:trPr>
        <w:tc>
          <w:tcPr>
            <w:tcW w:w="5360" w:type="dxa"/>
            <w:vAlign w:val="bottom"/>
            <w:gridSpan w:val="4"/>
          </w:tcPr>
          <w:p>
            <w:pPr>
              <w:spacing w:after="0"/>
              <w:rPr>
                <w:sz w:val="20"/>
                <w:szCs w:val="20"/>
                <w:color w:val="auto"/>
              </w:rPr>
            </w:pPr>
            <w:r>
              <w:rPr>
                <w:rFonts w:ascii="Arial" w:cs="Arial" w:eastAsia="Arial" w:hAnsi="Arial"/>
                <w:sz w:val="18"/>
                <w:szCs w:val="18"/>
                <w:color w:val="auto"/>
              </w:rPr>
              <w:t>which interest has been paid or duly provided for, semi-annually on</w:t>
            </w:r>
          </w:p>
        </w:tc>
        <w:tc>
          <w:tcPr>
            <w:tcW w:w="1540" w:type="dxa"/>
            <w:vAlign w:val="bottom"/>
          </w:tcPr>
          <w:p>
            <w:pPr>
              <w:ind w:left="500"/>
              <w:spacing w:after="0"/>
              <w:rPr>
                <w:sz w:val="20"/>
                <w:szCs w:val="20"/>
                <w:color w:val="auto"/>
              </w:rPr>
            </w:pPr>
            <w:r>
              <w:rPr>
                <w:rFonts w:ascii="Arial" w:cs="Arial" w:eastAsia="Arial" w:hAnsi="Arial"/>
                <w:sz w:val="18"/>
                <w:szCs w:val="18"/>
                <w:color w:val="auto"/>
              </w:rPr>
              <w:t>and</w:t>
            </w:r>
          </w:p>
        </w:tc>
        <w:tc>
          <w:tcPr>
            <w:tcW w:w="4500" w:type="dxa"/>
            <w:vAlign w:val="bottom"/>
          </w:tcPr>
          <w:p>
            <w:pPr>
              <w:ind w:left="220"/>
              <w:spacing w:after="0"/>
              <w:rPr>
                <w:sz w:val="20"/>
                <w:szCs w:val="20"/>
                <w:color w:val="auto"/>
              </w:rPr>
            </w:pPr>
            <w:r>
              <w:rPr>
                <w:rFonts w:ascii="Arial" w:cs="Arial" w:eastAsia="Arial" w:hAnsi="Arial"/>
                <w:sz w:val="18"/>
                <w:szCs w:val="18"/>
                <w:color w:val="auto"/>
              </w:rPr>
              <w:t>in each year (each, an “Interest Payment Date”),</w:t>
            </w:r>
          </w:p>
        </w:tc>
      </w:tr>
      <w:tr>
        <w:trPr>
          <w:trHeight w:val="230"/>
        </w:trPr>
        <w:tc>
          <w:tcPr>
            <w:tcW w:w="1340" w:type="dxa"/>
            <w:vAlign w:val="bottom"/>
            <w:gridSpan w:val="2"/>
          </w:tcPr>
          <w:p>
            <w:pPr>
              <w:spacing w:after="0"/>
              <w:rPr>
                <w:sz w:val="20"/>
                <w:szCs w:val="20"/>
                <w:color w:val="auto"/>
              </w:rPr>
            </w:pPr>
            <w:r>
              <w:rPr>
                <w:rFonts w:ascii="Arial" w:cs="Arial" w:eastAsia="Arial" w:hAnsi="Arial"/>
                <w:sz w:val="18"/>
                <w:szCs w:val="18"/>
                <w:color w:val="auto"/>
              </w:rPr>
              <w:t>commencing</w:t>
            </w:r>
          </w:p>
        </w:tc>
        <w:tc>
          <w:tcPr>
            <w:tcW w:w="10060" w:type="dxa"/>
            <w:vAlign w:val="bottom"/>
            <w:gridSpan w:val="4"/>
          </w:tcPr>
          <w:p>
            <w:pPr>
              <w:ind w:left="540"/>
              <w:spacing w:after="0"/>
              <w:rPr>
                <w:sz w:val="20"/>
                <w:szCs w:val="20"/>
                <w:color w:val="auto"/>
              </w:rPr>
            </w:pPr>
            <w:r>
              <w:rPr>
                <w:rFonts w:ascii="Arial" w:cs="Arial" w:eastAsia="Arial" w:hAnsi="Arial"/>
                <w:sz w:val="18"/>
                <w:szCs w:val="18"/>
                <w:color w:val="auto"/>
                <w:w w:val="91"/>
              </w:rPr>
              <w:t>, at the rate of   % per annum, until the principal hereof is paid or duly provided for. The interest so payable, and punctually paid or</w:t>
            </w:r>
          </w:p>
        </w:tc>
      </w:tr>
    </w:tbl>
    <w:p>
      <w:pPr>
        <w:spacing w:after="0"/>
        <w:rPr>
          <w:sz w:val="20"/>
          <w:szCs w:val="20"/>
          <w:color w:val="auto"/>
        </w:rPr>
      </w:pPr>
      <w:r>
        <w:rPr>
          <w:rFonts w:ascii="Arial" w:cs="Arial" w:eastAsia="Arial" w:hAnsi="Arial"/>
          <w:sz w:val="17"/>
          <w:szCs w:val="17"/>
          <w:color w:val="auto"/>
        </w:rPr>
        <w:t>duly provided for, on any Interest Payment Date will, as provided in such Indenture, be paid to the Holder in whose name this Security (or one or more</w:t>
      </w:r>
    </w:p>
    <w:p>
      <w:pPr>
        <w:spacing w:after="0" w:line="21"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Predecessor Securities) is registered at the close of business on the Regular Record Date for such interest, which shall be the</w:t>
      </w:r>
      <w:r>
        <w:rPr>
          <w:sz w:val="20"/>
          <w:szCs w:val="20"/>
          <w:color w:val="auto"/>
        </w:rPr>
        <w:tab/>
      </w:r>
      <w:r>
        <w:rPr>
          <w:rFonts w:ascii="Arial" w:cs="Arial" w:eastAsia="Arial" w:hAnsi="Arial"/>
          <w:sz w:val="15"/>
          <w:szCs w:val="15"/>
          <w:color w:val="auto"/>
        </w:rPr>
        <w:t>or</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(whether or not a Business Day), as the case may be, next preceding such Interest Payment Date [at the office or agency of the Company maintained for such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the Security is not to bear interest prior to Maturity, insert</w:t>
      </w:r>
      <w:r>
        <w:rPr>
          <w:rFonts w:ascii="Arial" w:cs="Arial" w:eastAsia="Arial" w:hAnsi="Arial"/>
          <w:sz w:val="17"/>
          <w:szCs w:val="17"/>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7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w:t>
      </w:r>
    </w:p>
    <w:p>
      <w:pPr>
        <w:ind w:right="360"/>
        <w:spacing w:after="0" w:line="261" w:lineRule="auto"/>
        <w:rPr>
          <w:sz w:val="20"/>
          <w:szCs w:val="20"/>
          <w:color w:val="auto"/>
        </w:rPr>
      </w:pPr>
      <w:r>
        <w:rPr>
          <w:rFonts w:ascii="Arial" w:cs="Arial" w:eastAsia="Arial" w:hAnsi="Arial"/>
          <w:sz w:val="18"/>
          <w:szCs w:val="18"/>
          <w:color w:val="auto"/>
        </w:rPr>
        <w:t>agency of the Company maintained for that purpose in , in such coin or currency of the United States of America as at the time of payment is legal tender for the payment of public and private debts.</w:t>
      </w:r>
    </w:p>
    <w:p>
      <w:pPr>
        <w:sectPr>
          <w:pgSz w:w="11900" w:h="16888" w:orient="portrait"/>
          <w:cols w:equalWidth="0" w:num="1">
            <w:col w:w="11420"/>
          </w:cols>
          <w:pgMar w:left="240" w:top="125" w:right="239" w:bottom="0" w:gutter="0" w:footer="0" w:header="0"/>
          <w:type w:val="continuous"/>
        </w:sectPr>
      </w:pPr>
    </w:p>
    <w:bookmarkStart w:id="92" w:name="page93"/>
    <w:bookmarkEnd w:id="92"/>
    <w:p>
      <w:pPr>
        <w:spacing w:after="0" w:line="28"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w:t>
      </w:r>
    </w:p>
    <w:p>
      <w:pPr>
        <w:spacing w:after="0" w:line="288" w:lineRule="auto"/>
        <w:rPr>
          <w:sz w:val="20"/>
          <w:szCs w:val="20"/>
          <w:color w:val="auto"/>
        </w:rPr>
      </w:pPr>
      <w:r>
        <w:rPr>
          <w:rFonts w:ascii="Arial" w:cs="Arial" w:eastAsia="Arial" w:hAnsi="Arial"/>
          <w:sz w:val="16"/>
          <w:szCs w:val="16"/>
          <w:color w:val="auto"/>
        </w:rPr>
        <w:t>including ,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this Security is a Global Security, insert</w:t>
      </w:r>
      <w:r>
        <w:rPr>
          <w:rFonts w:ascii="Arial" w:cs="Arial" w:eastAsia="Arial" w:hAnsi="Arial"/>
          <w:sz w:val="18"/>
          <w:szCs w:val="18"/>
          <w:color w:val="auto"/>
        </w:rPr>
        <w:t xml:space="preserve"> — All payments of principal, premium or Make-Whole Amount, if any, and interest in respect of this Security will be made by the Company in immediately available funds.]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instrument to be duly executed under its facsimile 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28473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ESPERION THERAPEUTICS,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645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ESPERION THERAPEUTICS, INC.</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Indenture, dated as of , 20 (herein called the “Indenture”) between the Company and ,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and the aggregate principal</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applicable, insert</w:t>
      </w:r>
      <w:r>
        <w:rPr>
          <w:rFonts w:ascii="Arial" w:cs="Arial" w:eastAsia="Arial" w:hAnsi="Arial"/>
          <w:sz w:val="18"/>
          <w:szCs w:val="18"/>
          <w:color w:val="auto"/>
        </w:rPr>
        <w:t xml:space="preserve"> — The Securities may not be redeemed prior to the Stated Maturity Date.]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13"/>
          </w:tcPr>
          <w:p>
            <w:pPr>
              <w:spacing w:after="0"/>
              <w:rPr>
                <w:sz w:val="20"/>
                <w:szCs w:val="20"/>
                <w:color w:val="auto"/>
              </w:rPr>
            </w:pPr>
            <w:r>
              <w:rPr>
                <w:rFonts w:ascii="Arial" w:cs="Arial" w:eastAsia="Arial" w:hAnsi="Arial"/>
                <w:sz w:val="18"/>
                <w:szCs w:val="18"/>
                <w:color w:val="auto"/>
                <w:w w:val="95"/>
              </w:rPr>
              <w:t>[If applicable, insert — The Securities are subject to redemption [ (l) (If applicable, insert — on</w:t>
            </w:r>
          </w:p>
        </w:tc>
        <w:tc>
          <w:tcPr>
            <w:tcW w:w="3280" w:type="dxa"/>
            <w:vAlign w:val="bottom"/>
            <w:gridSpan w:val="5"/>
          </w:tcPr>
          <w:p>
            <w:pPr>
              <w:ind w:left="360"/>
              <w:spacing w:after="0"/>
              <w:rPr>
                <w:sz w:val="20"/>
                <w:szCs w:val="20"/>
                <w:color w:val="auto"/>
              </w:rPr>
            </w:pPr>
            <w:r>
              <w:rPr>
                <w:rFonts w:ascii="Arial" w:cs="Arial" w:eastAsia="Arial" w:hAnsi="Arial"/>
                <w:sz w:val="18"/>
                <w:szCs w:val="18"/>
                <w:color w:val="auto"/>
                <w:w w:val="95"/>
              </w:rPr>
              <w:t>in any year commencing with the year</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and</w:t>
            </w:r>
          </w:p>
        </w:tc>
      </w:tr>
      <w:tr>
        <w:trPr>
          <w:trHeight w:val="20"/>
        </w:trPr>
        <w:tc>
          <w:tcPr>
            <w:tcW w:w="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960" w:type="dxa"/>
            <w:vAlign w:val="bottom"/>
            <w:gridSpan w:val="5"/>
          </w:tcPr>
          <w:p>
            <w:pPr>
              <w:spacing w:after="0" w:line="196" w:lineRule="exact"/>
              <w:rPr>
                <w:sz w:val="20"/>
                <w:szCs w:val="20"/>
                <w:color w:val="auto"/>
              </w:rPr>
            </w:pPr>
            <w:r>
              <w:rPr>
                <w:rFonts w:ascii="Arial" w:cs="Arial" w:eastAsia="Arial" w:hAnsi="Arial"/>
                <w:sz w:val="18"/>
                <w:szCs w:val="18"/>
                <w:color w:val="auto"/>
              </w:rPr>
              <w:t>ending with the year</w:t>
            </w:r>
          </w:p>
        </w:tc>
        <w:tc>
          <w:tcPr>
            <w:tcW w:w="9340" w:type="dxa"/>
            <w:vAlign w:val="bottom"/>
            <w:gridSpan w:val="16"/>
          </w:tcPr>
          <w:p>
            <w:pPr>
              <w:ind w:left="160"/>
              <w:spacing w:after="0" w:line="196" w:lineRule="exact"/>
              <w:rPr>
                <w:sz w:val="20"/>
                <w:szCs w:val="20"/>
                <w:color w:val="auto"/>
              </w:rPr>
            </w:pPr>
            <w:r>
              <w:rPr>
                <w:rFonts w:ascii="Arial" w:cs="Arial" w:eastAsia="Arial" w:hAnsi="Arial"/>
                <w:sz w:val="18"/>
                <w:szCs w:val="18"/>
                <w:color w:val="auto"/>
                <w:w w:val="92"/>
              </w:rPr>
              <w:t>through operation of the sinking fund for this series at a Redemption Price equal to 100% of the principal amount, and (2) ] [If</w:t>
            </w:r>
          </w:p>
        </w:tc>
      </w:tr>
      <w:tr>
        <w:trPr>
          <w:trHeight w:val="20"/>
        </w:trPr>
        <w:tc>
          <w:tcPr>
            <w:tcW w:w="1240" w:type="dxa"/>
            <w:vAlign w:val="bottom"/>
            <w:gridSpan w:val="3"/>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5320" w:type="dxa"/>
            <w:vAlign w:val="bottom"/>
            <w:gridSpan w:val="8"/>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380" w:type="dxa"/>
            <w:vAlign w:val="bottom"/>
            <w:gridSpan w:val="8"/>
          </w:tcPr>
          <w:p>
            <w:pPr>
              <w:spacing w:after="0" w:line="196" w:lineRule="exact"/>
              <w:rPr>
                <w:sz w:val="20"/>
                <w:szCs w:val="20"/>
                <w:color w:val="auto"/>
              </w:rPr>
            </w:pPr>
            <w:r>
              <w:rPr>
                <w:rFonts w:ascii="Arial" w:cs="Arial" w:eastAsia="Arial" w:hAnsi="Arial"/>
                <w:sz w:val="18"/>
                <w:szCs w:val="18"/>
                <w:color w:val="auto"/>
                <w:w w:val="97"/>
              </w:rPr>
              <w:t>applicable, insert — at any time [on or after</w:t>
            </w:r>
          </w:p>
        </w:tc>
        <w:tc>
          <w:tcPr>
            <w:tcW w:w="7920" w:type="dxa"/>
            <w:vAlign w:val="bottom"/>
            <w:gridSpan w:val="13"/>
          </w:tcPr>
          <w:p>
            <w:pPr>
              <w:ind w:left="360"/>
              <w:spacing w:after="0" w:line="196" w:lineRule="exact"/>
              <w:rPr>
                <w:sz w:val="20"/>
                <w:szCs w:val="20"/>
                <w:color w:val="auto"/>
              </w:rPr>
            </w:pPr>
            <w:r>
              <w:rPr>
                <w:rFonts w:ascii="Arial" w:cs="Arial" w:eastAsia="Arial" w:hAnsi="Arial"/>
                <w:sz w:val="18"/>
                <w:szCs w:val="18"/>
                <w:color w:val="auto"/>
                <w:w w:val="90"/>
              </w:rPr>
              <w:t>], as a whole or in part, at the election of the Company, at the following Redemption Prices (expressed as</w:t>
            </w:r>
          </w:p>
        </w:tc>
      </w:tr>
      <w:tr>
        <w:trPr>
          <w:trHeight w:val="20"/>
        </w:trPr>
        <w:tc>
          <w:tcPr>
            <w:tcW w:w="1240" w:type="dxa"/>
            <w:vAlign w:val="bottom"/>
            <w:gridSpan w:val="3"/>
            <w:shd w:val="clear" w:color="auto" w:fill="000000"/>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380" w:type="dxa"/>
            <w:vAlign w:val="bottom"/>
            <w:gridSpan w:val="8"/>
          </w:tcPr>
          <w:p>
            <w:pPr>
              <w:spacing w:after="0"/>
              <w:rPr>
                <w:sz w:val="20"/>
                <w:szCs w:val="20"/>
                <w:color w:val="auto"/>
              </w:rPr>
            </w:pPr>
            <w:r>
              <w:rPr>
                <w:rFonts w:ascii="Arial" w:cs="Arial" w:eastAsia="Arial" w:hAnsi="Arial"/>
                <w:sz w:val="18"/>
                <w:szCs w:val="18"/>
                <w:color w:val="auto"/>
              </w:rPr>
              <w:t>percentages of the principal amount):</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960" w:type="dxa"/>
            <w:vAlign w:val="bottom"/>
            <w:gridSpan w:val="5"/>
          </w:tcPr>
          <w:p>
            <w:pPr>
              <w:spacing w:after="0"/>
              <w:rPr>
                <w:sz w:val="20"/>
                <w:szCs w:val="20"/>
                <w:color w:val="auto"/>
              </w:rPr>
            </w:pPr>
            <w:r>
              <w:rPr>
                <w:rFonts w:ascii="Arial" w:cs="Arial" w:eastAsia="Arial" w:hAnsi="Arial"/>
                <w:sz w:val="18"/>
                <w:szCs w:val="18"/>
                <w:color w:val="auto"/>
                <w:w w:val="97"/>
              </w:rPr>
              <w:t>If redeemed on or before</w:t>
            </w:r>
          </w:p>
        </w:tc>
        <w:tc>
          <w:tcPr>
            <w:tcW w:w="5220" w:type="dxa"/>
            <w:vAlign w:val="bottom"/>
            <w:gridSpan w:val="8"/>
          </w:tcPr>
          <w:p>
            <w:pPr>
              <w:ind w:left="420"/>
              <w:spacing w:after="0"/>
              <w:rPr>
                <w:sz w:val="20"/>
                <w:szCs w:val="20"/>
                <w:color w:val="auto"/>
              </w:rPr>
            </w:pPr>
            <w:r>
              <w:rPr>
                <w:rFonts w:ascii="Arial" w:cs="Arial" w:eastAsia="Arial" w:hAnsi="Arial"/>
                <w:sz w:val="18"/>
                <w:szCs w:val="18"/>
                <w:color w:val="auto"/>
              </w:rPr>
              <w:t>,   % and if redeemed during the 12-month period beginning</w:t>
            </w:r>
          </w:p>
        </w:tc>
        <w:tc>
          <w:tcPr>
            <w:tcW w:w="4120" w:type="dxa"/>
            <w:vAlign w:val="bottom"/>
            <w:gridSpan w:val="8"/>
          </w:tcPr>
          <w:p>
            <w:pPr>
              <w:ind w:left="260"/>
              <w:spacing w:after="0"/>
              <w:rPr>
                <w:sz w:val="20"/>
                <w:szCs w:val="20"/>
                <w:color w:val="auto"/>
              </w:rPr>
            </w:pPr>
            <w:r>
              <w:rPr>
                <w:rFonts w:ascii="Arial" w:cs="Arial" w:eastAsia="Arial" w:hAnsi="Arial"/>
                <w:sz w:val="18"/>
                <w:szCs w:val="18"/>
                <w:color w:val="auto"/>
              </w:rPr>
              <w:t>of the years indicated at the Redemption Prices</w:t>
            </w:r>
          </w:p>
        </w:tc>
      </w:tr>
      <w:tr>
        <w:trPr>
          <w:trHeight w:val="230"/>
        </w:trPr>
        <w:tc>
          <w:tcPr>
            <w:tcW w:w="1960" w:type="dxa"/>
            <w:vAlign w:val="bottom"/>
            <w:gridSpan w:val="5"/>
          </w:tcPr>
          <w:p>
            <w:pPr>
              <w:spacing w:after="0"/>
              <w:rPr>
                <w:sz w:val="20"/>
                <w:szCs w:val="20"/>
                <w:color w:val="auto"/>
              </w:rPr>
            </w:pPr>
            <w:r>
              <w:rPr>
                <w:rFonts w:ascii="Arial" w:cs="Arial" w:eastAsia="Arial" w:hAnsi="Arial"/>
                <w:sz w:val="18"/>
                <w:szCs w:val="18"/>
                <w:color w:val="auto"/>
              </w:rPr>
              <w:t>indicated below.</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60" w:type="dxa"/>
            <w:vAlign w:val="bottom"/>
          </w:tcPr>
          <w:p>
            <w:pPr>
              <w:spacing w:after="0"/>
              <w:rPr>
                <w:sz w:val="24"/>
                <w:szCs w:val="24"/>
                <w:color w:val="auto"/>
              </w:rPr>
            </w:pPr>
          </w:p>
        </w:tc>
        <w:tc>
          <w:tcPr>
            <w:tcW w:w="1900" w:type="dxa"/>
            <w:vAlign w:val="bottom"/>
            <w:gridSpan w:val="4"/>
          </w:tcPr>
          <w:p>
            <w:pPr>
              <w:ind w:left="600"/>
              <w:spacing w:after="0"/>
              <w:rPr>
                <w:sz w:val="20"/>
                <w:szCs w:val="20"/>
                <w:color w:val="auto"/>
              </w:rPr>
            </w:pPr>
            <w:r>
              <w:rPr>
                <w:rFonts w:ascii="Arial" w:cs="Arial" w:eastAsia="Arial" w:hAnsi="Arial"/>
                <w:sz w:val="14"/>
                <w:szCs w:val="14"/>
                <w:b w:val="1"/>
                <w:bCs w:val="1"/>
                <w:color w:val="auto"/>
              </w:rPr>
              <w:t>Year</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3"/>
          </w:tcPr>
          <w:p>
            <w:pPr>
              <w:ind w:left="320"/>
              <w:spacing w:after="0"/>
              <w:rPr>
                <w:sz w:val="20"/>
                <w:szCs w:val="20"/>
                <w:color w:val="auto"/>
              </w:rPr>
            </w:pPr>
            <w:r>
              <w:rPr>
                <w:rFonts w:ascii="Arial" w:cs="Arial" w:eastAsia="Arial" w:hAnsi="Arial"/>
                <w:sz w:val="14"/>
                <w:szCs w:val="14"/>
                <w:b w:val="1"/>
                <w:bCs w:val="1"/>
                <w:color w:val="auto"/>
              </w:rPr>
              <w:t>Redemption Price</w:t>
            </w:r>
          </w:p>
        </w:tc>
        <w:tc>
          <w:tcPr>
            <w:tcW w:w="80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Redemption Price</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4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spacing w:after="0"/>
              <w:rPr>
                <w:sz w:val="12"/>
                <w:szCs w:val="12"/>
                <w:color w:val="auto"/>
              </w:rPr>
            </w:pPr>
          </w:p>
        </w:tc>
        <w:tc>
          <w:tcPr>
            <w:tcW w:w="1480" w:type="dxa"/>
            <w:vAlign w:val="bottom"/>
            <w:gridSpan w:val="2"/>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92"/>
        </w:trPr>
        <w:tc>
          <w:tcPr>
            <w:tcW w:w="3380" w:type="dxa"/>
            <w:vAlign w:val="bottom"/>
            <w:gridSpan w:val="8"/>
          </w:tcPr>
          <w:p>
            <w:pPr>
              <w:spacing w:after="0"/>
              <w:rPr>
                <w:sz w:val="20"/>
                <w:szCs w:val="20"/>
                <w:color w:val="auto"/>
              </w:rPr>
            </w:pPr>
            <w:r>
              <w:rPr>
                <w:rFonts w:ascii="Arial" w:cs="Arial" w:eastAsia="Arial" w:hAnsi="Arial"/>
                <w:sz w:val="18"/>
                <w:szCs w:val="18"/>
                <w:color w:val="auto"/>
                <w:w w:val="92"/>
              </w:rPr>
              <w:t>and thereafter at a Redemption Price equal to</w:t>
            </w:r>
          </w:p>
        </w:tc>
        <w:tc>
          <w:tcPr>
            <w:tcW w:w="7920" w:type="dxa"/>
            <w:vAlign w:val="bottom"/>
            <w:gridSpan w:val="13"/>
          </w:tcPr>
          <w:p>
            <w:pPr>
              <w:jc w:val="right"/>
              <w:ind w:right="300"/>
              <w:spacing w:after="0"/>
              <w:rPr>
                <w:sz w:val="20"/>
                <w:szCs w:val="20"/>
                <w:color w:val="auto"/>
              </w:rPr>
            </w:pPr>
            <w:r>
              <w:rPr>
                <w:rFonts w:ascii="Arial" w:cs="Arial" w:eastAsia="Arial" w:hAnsi="Arial"/>
                <w:sz w:val="18"/>
                <w:szCs w:val="18"/>
                <w:color w:val="auto"/>
                <w:w w:val="92"/>
              </w:rPr>
              <w:t>% of the principal amount, together in the case of any such redemption [If applicable, insert — (whether</w:t>
            </w:r>
          </w:p>
        </w:tc>
      </w:tr>
      <w:tr>
        <w:trPr>
          <w:trHeight w:val="20"/>
        </w:trPr>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through operation of the sinking fund or otherwise)] with accrued interest to the Redemption Date;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ectPr>
          <w:pgSz w:w="11900" w:h="16866" w:orient="portrait"/>
          <w:cols w:equalWidth="0" w:num="1">
            <w:col w:w="11400"/>
          </w:cols>
          <w:pgMar w:left="240" w:top="341" w:right="259" w:bottom="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5680" w:type="dxa"/>
            <w:vAlign w:val="bottom"/>
            <w:gridSpan w:val="3"/>
          </w:tcPr>
          <w:p>
            <w:pPr>
              <w:ind w:left="60"/>
              <w:spacing w:after="0"/>
              <w:rPr>
                <w:sz w:val="20"/>
                <w:szCs w:val="20"/>
                <w:color w:val="auto"/>
              </w:rPr>
            </w:pPr>
            <w:r>
              <w:rPr>
                <w:rFonts w:ascii="Arial" w:cs="Arial" w:eastAsia="Arial" w:hAnsi="Arial"/>
                <w:sz w:val="18"/>
                <w:szCs w:val="18"/>
                <w:color w:val="auto"/>
              </w:rPr>
              <w:t>[If applicable, insert — The Securities are subject to redemption (1) on</w:t>
            </w:r>
          </w:p>
        </w:tc>
        <w:tc>
          <w:tcPr>
            <w:tcW w:w="3560" w:type="dxa"/>
            <w:vAlign w:val="bottom"/>
            <w:gridSpan w:val="2"/>
          </w:tcPr>
          <w:p>
            <w:pPr>
              <w:ind w:left="480"/>
              <w:spacing w:after="0"/>
              <w:rPr>
                <w:sz w:val="20"/>
                <w:szCs w:val="20"/>
                <w:color w:val="auto"/>
              </w:rPr>
            </w:pPr>
            <w:r>
              <w:rPr>
                <w:rFonts w:ascii="Arial" w:cs="Arial" w:eastAsia="Arial" w:hAnsi="Arial"/>
                <w:sz w:val="18"/>
                <w:szCs w:val="18"/>
                <w:color w:val="auto"/>
              </w:rPr>
              <w:t>in any year commencing with the year</w:t>
            </w:r>
          </w:p>
        </w:tc>
        <w:tc>
          <w:tcPr>
            <w:tcW w:w="1740" w:type="dxa"/>
            <w:vAlign w:val="bottom"/>
          </w:tcPr>
          <w:p>
            <w:pPr>
              <w:ind w:left="320"/>
              <w:spacing w:after="0"/>
              <w:rPr>
                <w:sz w:val="20"/>
                <w:szCs w:val="20"/>
                <w:color w:val="auto"/>
              </w:rPr>
            </w:pPr>
            <w:r>
              <w:rPr>
                <w:rFonts w:ascii="Arial" w:cs="Arial" w:eastAsia="Arial" w:hAnsi="Arial"/>
                <w:sz w:val="18"/>
                <w:szCs w:val="18"/>
                <w:color w:val="auto"/>
                <w:w w:val="89"/>
              </w:rPr>
              <w:t>and ending with the</w:t>
            </w:r>
          </w:p>
        </w:tc>
      </w:tr>
      <w:tr>
        <w:trPr>
          <w:trHeight w:val="20"/>
        </w:trPr>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460" w:type="dxa"/>
            <w:vAlign w:val="bottom"/>
            <w:gridSpan w:val="4"/>
          </w:tcPr>
          <w:p>
            <w:pPr>
              <w:spacing w:after="0" w:line="20" w:lineRule="exact"/>
              <w:rPr>
                <w:sz w:val="1"/>
                <w:szCs w:val="1"/>
                <w:color w:val="auto"/>
              </w:rPr>
            </w:pPr>
          </w:p>
        </w:tc>
      </w:t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year</w:t>
            </w:r>
          </w:p>
        </w:tc>
        <w:tc>
          <w:tcPr>
            <w:tcW w:w="120" w:type="dxa"/>
            <w:vAlign w:val="bottom"/>
          </w:tcPr>
          <w:p>
            <w:pPr>
              <w:spacing w:after="0"/>
              <w:rPr>
                <w:sz w:val="19"/>
                <w:szCs w:val="19"/>
                <w:color w:val="auto"/>
              </w:rPr>
            </w:pPr>
          </w:p>
        </w:tc>
        <w:tc>
          <w:tcPr>
            <w:tcW w:w="10860" w:type="dxa"/>
            <w:vAlign w:val="bottom"/>
            <w:gridSpan w:val="5"/>
          </w:tcPr>
          <w:p>
            <w:pPr>
              <w:ind w:left="800"/>
              <w:spacing w:after="0"/>
              <w:rPr>
                <w:sz w:val="20"/>
                <w:szCs w:val="20"/>
                <w:color w:val="auto"/>
              </w:rPr>
            </w:pPr>
            <w:r>
              <w:rPr>
                <w:rFonts w:ascii="Arial" w:cs="Arial" w:eastAsia="Arial" w:hAnsi="Arial"/>
                <w:sz w:val="18"/>
                <w:szCs w:val="18"/>
                <w:color w:val="auto"/>
                <w:w w:val="97"/>
              </w:rPr>
              <w:t>through operation of the sinking fund for this series at the Redemption Prices for redemption through operation of the sinking fund</w:t>
            </w:r>
          </w:p>
        </w:tc>
      </w:tr>
      <w:tr>
        <w:trPr>
          <w:trHeight w:val="230"/>
        </w:trPr>
        <w:tc>
          <w:tcPr>
            <w:tcW w:w="8400" w:type="dxa"/>
            <w:vAlign w:val="bottom"/>
            <w:gridSpan w:val="5"/>
          </w:tcPr>
          <w:p>
            <w:pPr>
              <w:spacing w:after="0"/>
              <w:rPr>
                <w:sz w:val="20"/>
                <w:szCs w:val="20"/>
                <w:color w:val="auto"/>
              </w:rPr>
            </w:pPr>
            <w:r>
              <w:rPr>
                <w:rFonts w:ascii="Arial" w:cs="Arial" w:eastAsia="Arial" w:hAnsi="Arial"/>
                <w:sz w:val="18"/>
                <w:szCs w:val="18"/>
                <w:color w:val="auto"/>
                <w:w w:val="95"/>
              </w:rPr>
              <w:t>(expressed as percentages of the principal amount) set forth in the table below, and (2) at any time [on or after</w:t>
            </w:r>
          </w:p>
        </w:tc>
        <w:tc>
          <w:tcPr>
            <w:tcW w:w="2960" w:type="dxa"/>
            <w:vAlign w:val="bottom"/>
            <w:gridSpan w:val="2"/>
          </w:tcPr>
          <w:p>
            <w:pPr>
              <w:ind w:left="460"/>
              <w:spacing w:after="0"/>
              <w:rPr>
                <w:sz w:val="20"/>
                <w:szCs w:val="20"/>
                <w:color w:val="auto"/>
              </w:rPr>
            </w:pPr>
            <w:r>
              <w:rPr>
                <w:rFonts w:ascii="Arial" w:cs="Arial" w:eastAsia="Arial" w:hAnsi="Arial"/>
                <w:sz w:val="18"/>
                <w:szCs w:val="18"/>
                <w:color w:val="auto"/>
              </w:rPr>
              <w:t>], as a whole or in part, at the</w:t>
            </w:r>
          </w:p>
        </w:tc>
      </w:tr>
    </w:tbl>
    <w:p>
      <w:pPr>
        <w:spacing w:after="0"/>
        <w:rPr>
          <w:sz w:val="20"/>
          <w:szCs w:val="20"/>
          <w:color w:val="auto"/>
        </w:rPr>
      </w:pPr>
      <w:r>
        <w:rPr>
          <w:rFonts w:ascii="Arial" w:cs="Arial" w:eastAsia="Arial" w:hAnsi="Arial"/>
          <w:sz w:val="16"/>
          <w:szCs w:val="16"/>
          <w:color w:val="auto"/>
        </w:rPr>
        <w:t>election of the Company, at the Redemption Prices for redemption otherwise than through operation of the sinking fund (expressed as percentages of the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7"/>
          </w:tcPr>
          <w:p>
            <w:pPr>
              <w:spacing w:after="0"/>
              <w:rPr>
                <w:sz w:val="20"/>
                <w:szCs w:val="20"/>
                <w:color w:val="auto"/>
              </w:rPr>
            </w:pPr>
            <w:r>
              <w:rPr>
                <w:rFonts w:ascii="Arial" w:cs="Arial" w:eastAsia="Arial" w:hAnsi="Arial"/>
                <w:sz w:val="18"/>
                <w:szCs w:val="18"/>
                <w:color w:val="auto"/>
                <w:w w:val="95"/>
              </w:rPr>
              <w:t>principal amount) set forth in the table below: If redeemed during the 12-month period beginning</w:t>
            </w:r>
          </w:p>
        </w:tc>
        <w:tc>
          <w:tcPr>
            <w:tcW w:w="4120" w:type="dxa"/>
            <w:vAlign w:val="bottom"/>
            <w:gridSpan w:val="2"/>
          </w:tcPr>
          <w:p>
            <w:pPr>
              <w:ind w:left="300"/>
              <w:spacing w:after="0"/>
              <w:rPr>
                <w:sz w:val="20"/>
                <w:szCs w:val="20"/>
                <w:color w:val="auto"/>
              </w:rPr>
            </w:pPr>
            <w:r>
              <w:rPr>
                <w:rFonts w:ascii="Arial" w:cs="Arial" w:eastAsia="Arial" w:hAnsi="Arial"/>
                <w:sz w:val="18"/>
                <w:szCs w:val="18"/>
                <w:color w:val="auto"/>
              </w:rPr>
              <w:t>of the years indicated,</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Pr>
          <w:p>
            <w:pPr>
              <w:jc w:val="right"/>
              <w:ind w:right="881"/>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2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3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gridSpan w:val="3"/>
            <w:vMerge w:val="restart"/>
          </w:tcPr>
          <w:p>
            <w:pPr>
              <w:jc w:val="center"/>
              <w:ind w:right="840"/>
              <w:spacing w:after="0"/>
              <w:rPr>
                <w:sz w:val="20"/>
                <w:szCs w:val="20"/>
                <w:color w:val="auto"/>
              </w:rPr>
            </w:pPr>
            <w:r>
              <w:rPr>
                <w:rFonts w:ascii="Arial" w:cs="Arial" w:eastAsia="Arial" w:hAnsi="Arial"/>
                <w:sz w:val="14"/>
                <w:szCs w:val="14"/>
                <w:b w:val="1"/>
                <w:bCs w:val="1"/>
                <w:color w:val="auto"/>
                <w:w w:val="93"/>
              </w:rPr>
              <w:t>Redemption Price for</w:t>
            </w:r>
          </w:p>
        </w:tc>
        <w:tc>
          <w:tcPr>
            <w:tcW w:w="412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4"/>
              </w:rPr>
              <w:t>Redemption Price for</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60" w:type="dxa"/>
            <w:vAlign w:val="bottom"/>
            <w:gridSpan w:val="3"/>
            <w:vMerge w:val="continue"/>
          </w:tcPr>
          <w:p>
            <w:pPr>
              <w:spacing w:after="0"/>
              <w:rPr>
                <w:sz w:val="12"/>
                <w:szCs w:val="12"/>
                <w:color w:val="auto"/>
              </w:rPr>
            </w:pPr>
          </w:p>
        </w:tc>
        <w:tc>
          <w:tcPr>
            <w:tcW w:w="412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3"/>
              </w:rPr>
              <w:t>Redemption Otherwise Than</w:t>
            </w:r>
          </w:p>
        </w:tc>
        <w:tc>
          <w:tcPr>
            <w:tcW w:w="0" w:type="dxa"/>
            <w:vAlign w:val="bottom"/>
          </w:tcPr>
          <w:p>
            <w:pPr>
              <w:spacing w:after="0"/>
              <w:rPr>
                <w:sz w:val="1"/>
                <w:szCs w:val="1"/>
                <w:color w:val="auto"/>
              </w:rPr>
            </w:pPr>
          </w:p>
        </w:tc>
      </w:tr>
      <w:tr>
        <w:trPr>
          <w:trHeight w:val="149"/>
        </w:trPr>
        <w:tc>
          <w:tcPr>
            <w:tcW w:w="3380" w:type="dxa"/>
            <w:vAlign w:val="bottom"/>
            <w:gridSpan w:val="4"/>
            <w:vMerge w:val="restart"/>
          </w:tcPr>
          <w:p>
            <w:pPr>
              <w:ind w:left="820"/>
              <w:spacing w:after="0"/>
              <w:rPr>
                <w:sz w:val="20"/>
                <w:szCs w:val="20"/>
                <w:color w:val="auto"/>
              </w:rPr>
            </w:pPr>
            <w:r>
              <w:rPr>
                <w:rFonts w:ascii="Arial" w:cs="Arial" w:eastAsia="Arial" w:hAnsi="Arial"/>
                <w:sz w:val="14"/>
                <w:szCs w:val="14"/>
                <w:b w:val="1"/>
                <w:bCs w:val="1"/>
                <w:color w:val="auto"/>
              </w:rPr>
              <w:t>Year</w:t>
            </w:r>
          </w:p>
        </w:tc>
        <w:tc>
          <w:tcPr>
            <w:tcW w:w="396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Redemption Through</w:t>
            </w:r>
          </w:p>
        </w:tc>
        <w:tc>
          <w:tcPr>
            <w:tcW w:w="412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3"/>
              </w:rPr>
              <w:t>Through Operation of the</w:t>
            </w:r>
          </w:p>
        </w:tc>
        <w:tc>
          <w:tcPr>
            <w:tcW w:w="0" w:type="dxa"/>
            <w:vAlign w:val="bottom"/>
          </w:tcPr>
          <w:p>
            <w:pPr>
              <w:spacing w:after="0"/>
              <w:rPr>
                <w:sz w:val="1"/>
                <w:szCs w:val="1"/>
                <w:color w:val="auto"/>
              </w:rPr>
            </w:pPr>
          </w:p>
        </w:tc>
      </w:tr>
      <w:tr>
        <w:trPr>
          <w:trHeight w:val="171"/>
        </w:trPr>
        <w:tc>
          <w:tcPr>
            <w:tcW w:w="3380" w:type="dxa"/>
            <w:vAlign w:val="bottom"/>
            <w:gridSpan w:val="4"/>
            <w:vMerge w:val="continue"/>
          </w:tcPr>
          <w:p>
            <w:pPr>
              <w:spacing w:after="0"/>
              <w:rPr>
                <w:sz w:val="14"/>
                <w:szCs w:val="14"/>
                <w:color w:val="auto"/>
              </w:rPr>
            </w:pPr>
          </w:p>
        </w:tc>
        <w:tc>
          <w:tcPr>
            <w:tcW w:w="39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3"/>
              </w:rPr>
              <w:t>Operation of the Sinking Fund</w:t>
            </w:r>
          </w:p>
        </w:tc>
        <w:tc>
          <w:tcPr>
            <w:tcW w:w="41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4"/>
              </w:rPr>
              <w:t>Sinking Fund</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2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280" w:type="dxa"/>
            <w:vAlign w:val="bottom"/>
            <w:tcBorders>
              <w:top w:val="single" w:sz="8" w:color="auto"/>
            </w:tcBorders>
            <w:shd w:val="clear" w:color="auto" w:fill="CCEEFF"/>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380" w:type="dxa"/>
            <w:vAlign w:val="bottom"/>
            <w:gridSpan w:val="4"/>
          </w:tcPr>
          <w:p>
            <w:pPr>
              <w:spacing w:after="0"/>
              <w:rPr>
                <w:sz w:val="20"/>
                <w:szCs w:val="20"/>
                <w:color w:val="auto"/>
              </w:rPr>
            </w:pPr>
            <w:r>
              <w:rPr>
                <w:rFonts w:ascii="Arial" w:cs="Arial" w:eastAsia="Arial" w:hAnsi="Arial"/>
                <w:sz w:val="18"/>
                <w:szCs w:val="18"/>
                <w:color w:val="auto"/>
                <w:w w:val="92"/>
              </w:rPr>
              <w:t>and thereafter at a Redemption Price equal to</w:t>
            </w:r>
          </w:p>
        </w:tc>
        <w:tc>
          <w:tcPr>
            <w:tcW w:w="8080" w:type="dxa"/>
            <w:vAlign w:val="bottom"/>
            <w:gridSpan w:val="5"/>
          </w:tcPr>
          <w:p>
            <w:pPr>
              <w:ind w:left="100"/>
              <w:spacing w:after="0"/>
              <w:rPr>
                <w:sz w:val="20"/>
                <w:szCs w:val="20"/>
                <w:color w:val="auto"/>
              </w:rPr>
            </w:pPr>
            <w:r>
              <w:rPr>
                <w:rFonts w:ascii="Arial" w:cs="Arial" w:eastAsia="Arial" w:hAnsi="Arial"/>
                <w:sz w:val="18"/>
                <w:szCs w:val="18"/>
                <w:color w:val="auto"/>
                <w:w w:val="95"/>
              </w:rPr>
              <w:t>% of the principal amount, together in the case of any such redemption (whether through operation of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-1330960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-1330960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100"/>
        <w:spacing w:after="0" w:line="255" w:lineRule="auto"/>
        <w:rPr>
          <w:sz w:val="20"/>
          <w:szCs w:val="20"/>
          <w:color w:val="auto"/>
        </w:rPr>
      </w:pPr>
      <w:r>
        <w:rPr>
          <w:rFonts w:ascii="Arial" w:cs="Arial" w:eastAsia="Arial" w:hAnsi="Arial"/>
          <w:sz w:val="18"/>
          <w:szCs w:val="18"/>
          <w:color w:val="auto"/>
        </w:rPr>
        <w:t xml:space="preserve">sinking fund or otherwise) with accrued interest to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90" w:lineRule="exact"/>
        <w:rPr>
          <w:sz w:val="20"/>
          <w:szCs w:val="20"/>
          <w:color w:val="auto"/>
        </w:rPr>
      </w:pPr>
    </w:p>
    <w:p>
      <w:pPr>
        <w:ind w:left="440"/>
        <w:spacing w:after="0"/>
        <w:tabs>
          <w:tab w:leader="none" w:pos="7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applicable, insert</w:t>
      </w:r>
      <w:r>
        <w:rPr>
          <w:rFonts w:ascii="Arial" w:cs="Arial" w:eastAsia="Arial" w:hAnsi="Arial"/>
          <w:sz w:val="18"/>
          <w:szCs w:val="18"/>
          <w:color w:val="auto"/>
        </w:rPr>
        <w:t xml:space="preserve"> — Notwithstanding the foregoing, the Company may not, prior to</w:t>
      </w:r>
      <w:r>
        <w:rPr>
          <w:sz w:val="20"/>
          <w:szCs w:val="20"/>
          <w:color w:val="auto"/>
        </w:rPr>
        <w:tab/>
      </w:r>
      <w:r>
        <w:rPr>
          <w:rFonts w:ascii="Arial" w:cs="Arial" w:eastAsia="Arial" w:hAnsi="Arial"/>
          <w:sz w:val="16"/>
          <w:szCs w:val="16"/>
          <w:color w:val="auto"/>
        </w:rPr>
        <w:t>, redeem any Securities as contemplated by [Clause</w:t>
      </w:r>
    </w:p>
    <w:p>
      <w:pPr>
        <w:spacing w:after="0" w:line="23" w:lineRule="exact"/>
        <w:rPr>
          <w:sz w:val="20"/>
          <w:szCs w:val="20"/>
          <w:color w:val="auto"/>
        </w:rPr>
      </w:pPr>
    </w:p>
    <w:p>
      <w:pPr>
        <w:ind w:right="560"/>
        <w:spacing w:after="0" w:line="323" w:lineRule="auto"/>
        <w:rPr>
          <w:sz w:val="20"/>
          <w:szCs w:val="20"/>
          <w:color w:val="auto"/>
        </w:rPr>
      </w:pPr>
      <w:r>
        <w:rPr>
          <w:rFonts w:ascii="Arial" w:cs="Arial" w:eastAsia="Arial" w:hAnsi="Arial"/>
          <w:sz w:val="16"/>
          <w:szCs w:val="16"/>
          <w:color w:val="auto"/>
        </w:rPr>
        <w:t>(2)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2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7000" w:type="dxa"/>
            <w:vAlign w:val="bottom"/>
            <w:gridSpan w:val="5"/>
          </w:tcPr>
          <w:p>
            <w:pPr>
              <w:spacing w:after="0"/>
              <w:rPr>
                <w:sz w:val="20"/>
                <w:szCs w:val="20"/>
                <w:color w:val="auto"/>
              </w:rPr>
            </w:pPr>
            <w:r>
              <w:rPr>
                <w:rFonts w:ascii="Arial" w:cs="Arial" w:eastAsia="Arial" w:hAnsi="Arial"/>
                <w:sz w:val="18"/>
                <w:szCs w:val="18"/>
                <w:color w:val="auto"/>
                <w:w w:val="99"/>
              </w:rPr>
              <w:t>[If applicable, insert — The sinking fund for the Securities provides for the redemption on</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in each year, beginning with the year</w:t>
            </w:r>
          </w:p>
        </w:tc>
      </w:tr>
      <w:tr>
        <w:trPr>
          <w:trHeight w:val="20"/>
        </w:trPr>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2700" w:type="dxa"/>
            <w:vAlign w:val="bottom"/>
            <w:gridSpan w:val="2"/>
          </w:tcPr>
          <w:p>
            <w:pPr>
              <w:ind w:left="460"/>
              <w:spacing w:after="0"/>
              <w:rPr>
                <w:sz w:val="20"/>
                <w:szCs w:val="20"/>
                <w:color w:val="auto"/>
              </w:rPr>
            </w:pPr>
            <w:r>
              <w:rPr>
                <w:rFonts w:ascii="Arial" w:cs="Arial" w:eastAsia="Arial" w:hAnsi="Arial"/>
                <w:sz w:val="18"/>
                <w:szCs w:val="18"/>
                <w:color w:val="auto"/>
              </w:rPr>
              <w:t>and ending with the year</w:t>
            </w:r>
          </w:p>
        </w:tc>
        <w:tc>
          <w:tcPr>
            <w:tcW w:w="2100" w:type="dxa"/>
            <w:vAlign w:val="bottom"/>
          </w:tcPr>
          <w:p>
            <w:pPr>
              <w:ind w:left="480"/>
              <w:spacing w:after="0"/>
              <w:rPr>
                <w:sz w:val="20"/>
                <w:szCs w:val="20"/>
                <w:color w:val="auto"/>
              </w:rPr>
            </w:pPr>
            <w:r>
              <w:rPr>
                <w:rFonts w:ascii="Arial" w:cs="Arial" w:eastAsia="Arial" w:hAnsi="Arial"/>
                <w:sz w:val="18"/>
                <w:szCs w:val="18"/>
                <w:color w:val="auto"/>
              </w:rPr>
              <w:t>, of [not less than] $</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w w:val="97"/>
              </w:rPr>
              <w:t>] [(“mandatory sinking fund”) and not more than $</w:t>
            </w:r>
          </w:p>
        </w:tc>
        <w:tc>
          <w:tcPr>
            <w:tcW w:w="1680" w:type="dxa"/>
            <w:vAlign w:val="bottom"/>
          </w:tcPr>
          <w:p>
            <w:pPr>
              <w:ind w:left="180"/>
              <w:spacing w:after="0"/>
              <w:rPr>
                <w:sz w:val="20"/>
                <w:szCs w:val="20"/>
                <w:color w:val="auto"/>
              </w:rPr>
            </w:pPr>
            <w:r>
              <w:rPr>
                <w:rFonts w:ascii="Arial" w:cs="Arial" w:eastAsia="Arial" w:hAnsi="Arial"/>
                <w:sz w:val="18"/>
                <w:szCs w:val="18"/>
                <w:color w:val="auto"/>
                <w:w w:val="90"/>
              </w:rPr>
              <w:t>] aggregate principal</w:t>
            </w:r>
          </w:p>
        </w:tc>
      </w:tr>
    </w:tbl>
    <w:p>
      <w:pPr>
        <w:ind w:right="160"/>
        <w:spacing w:after="0" w:line="323" w:lineRule="auto"/>
        <w:rPr>
          <w:sz w:val="20"/>
          <w:szCs w:val="20"/>
          <w:color w:val="auto"/>
        </w:rPr>
      </w:pPr>
      <w:r>
        <w:rPr>
          <w:rFonts w:ascii="Arial" w:cs="Arial" w:eastAsia="Arial" w:hAnsi="Arial"/>
          <w:sz w:val="16"/>
          <w:szCs w:val="16"/>
          <w:color w:val="auto"/>
        </w:rPr>
        <w:t>amount of the Securities. [The Securities acquired or redeemed by the Company otherwise than through [mandatory] sinking fund payments may be credited against subsequent [mandatory] sinking fund payments otherwise required to be made in the [</w:t>
      </w:r>
      <w:r>
        <w:rPr>
          <w:rFonts w:ascii="Arial" w:cs="Arial" w:eastAsia="Arial" w:hAnsi="Arial"/>
          <w:sz w:val="16"/>
          <w:szCs w:val="16"/>
          <w:u w:val="single" w:color="auto"/>
          <w:color w:val="auto"/>
        </w:rPr>
        <w:t>describe order</w:t>
      </w:r>
      <w:r>
        <w:rPr>
          <w:rFonts w:ascii="Arial" w:cs="Arial" w:eastAsia="Arial" w:hAnsi="Arial"/>
          <w:sz w:val="16"/>
          <w:szCs w:val="16"/>
          <w:color w:val="auto"/>
        </w:rPr>
        <w:t>] order in which they become due.]]</w:t>
      </w:r>
    </w:p>
    <w:p>
      <w:pPr>
        <w:spacing w:after="0" w:line="139"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Notice of redemption will be given by mail to Holders of Securities, not less than 30 nor more than 60 days prior to the Redemption Date, all as provided in the Indenture.</w:t>
      </w:r>
    </w:p>
    <w:p>
      <w:pPr>
        <w:spacing w:after="0" w:line="170"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ind w:right="180" w:firstLine="441"/>
        <w:spacing w:after="0" w:line="270"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78"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8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81" w:lineRule="exact"/>
        <w:rPr>
          <w:sz w:val="20"/>
          <w:szCs w:val="20"/>
          <w:color w:val="auto"/>
        </w:rPr>
      </w:pPr>
    </w:p>
    <w:p>
      <w:pPr>
        <w:ind w:left="440"/>
        <w:spacing w:after="0"/>
        <w:tabs>
          <w:tab w:leader="none" w:pos="8400" w:val="left"/>
        </w:tabs>
        <w:rPr>
          <w:sz w:val="20"/>
          <w:szCs w:val="20"/>
          <w:color w:val="auto"/>
        </w:rPr>
      </w:pPr>
      <w:r>
        <w:rPr>
          <w:rFonts w:ascii="Arial" w:cs="Arial" w:eastAsia="Arial" w:hAnsi="Arial"/>
          <w:sz w:val="18"/>
          <w:szCs w:val="18"/>
          <w:color w:val="auto"/>
        </w:rPr>
        <w:t>The Securities of this series are issuable only in registered form [without coupons] in denominations of $</w:t>
      </w:r>
      <w:r>
        <w:rPr>
          <w:sz w:val="20"/>
          <w:szCs w:val="20"/>
          <w:color w:val="auto"/>
        </w:rPr>
        <w:tab/>
      </w:r>
      <w:r>
        <w:rPr>
          <w:rFonts w:ascii="Arial" w:cs="Arial" w:eastAsia="Arial" w:hAnsi="Arial"/>
          <w:sz w:val="16"/>
          <w:szCs w:val="16"/>
          <w:color w:val="auto"/>
        </w:rPr>
        <w:t>and any integral multiple thereof.</w:t>
      </w:r>
    </w:p>
    <w:p>
      <w:pPr>
        <w:spacing w:after="0" w:line="225"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ectPr>
          <w:pgSz w:w="11900" w:h="16838" w:orient="portrait"/>
          <w:cols w:equalWidth="0" w:num="1">
            <w:col w:w="11460"/>
          </w:cols>
          <w:pgMar w:left="240" w:top="324" w:right="199" w:bottom="4" w:gutter="0" w:footer="0" w:header="0"/>
        </w:sectPr>
      </w:pPr>
    </w:p>
    <w:bookmarkStart w:id="94" w:name="page95"/>
    <w:bookmarkEnd w:id="94"/>
    <w:p>
      <w:pPr>
        <w:jc w:val="both"/>
        <w:ind w:right="180" w:firstLine="441"/>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3"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FORMS OF CERTIFICATION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ind w:left="260"/>
        <w:spacing w:after="0" w:line="277" w:lineRule="auto"/>
        <w:rPr>
          <w:sz w:val="20"/>
          <w:szCs w:val="20"/>
          <w:color w:val="auto"/>
        </w:rPr>
      </w:pPr>
      <w:r>
        <w:rPr>
          <w:rFonts w:ascii="Arial" w:cs="Arial" w:eastAsia="Arial" w:hAnsi="Arial"/>
          <w:sz w:val="18"/>
          <w:szCs w:val="18"/>
          <w:color w:val="auto"/>
        </w:rPr>
        <w:t>FORM OF CERTIFICATE TO BE GIVEN BY PERSON ENTITLED TO RECEIVE BEARER SECURITY OR TO OBTAIN INTEREST PAYABLE PRIOR TO THE EXCHANGE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180" w:firstLine="441"/>
        <w:spacing w:after="0" w:line="288" w:lineRule="auto"/>
        <w:rPr>
          <w:sz w:val="20"/>
          <w:szCs w:val="20"/>
          <w:color w:val="auto"/>
        </w:rPr>
      </w:pPr>
      <w:r>
        <w:rPr>
          <w:rFonts w:ascii="Arial" w:cs="Arial" w:eastAsia="Arial" w:hAnsi="Arial"/>
          <w:sz w:val="16"/>
          <w:szCs w:val="16"/>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ind w:left="260" w:hanging="252"/>
        <w:spacing w:after="0"/>
        <w:tabs>
          <w:tab w:leader="none" w:pos="2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foreign branches of United States financial institutions (financial institutions, as defined in United States Treasury Regulations Section 2.165-12(c)(1)</w:t>
      </w:r>
    </w:p>
    <w:p>
      <w:pPr>
        <w:spacing w:after="0" w:line="20" w:lineRule="exact"/>
        <w:rPr>
          <w:rFonts w:ascii="Arial" w:cs="Arial" w:eastAsia="Arial" w:hAnsi="Arial"/>
          <w:sz w:val="17"/>
          <w:szCs w:val="17"/>
          <w:color w:val="auto"/>
        </w:rPr>
      </w:pPr>
    </w:p>
    <w:p>
      <w:pPr>
        <w:ind w:right="40" w:firstLine="8"/>
        <w:spacing w:after="0" w:line="251" w:lineRule="auto"/>
        <w:tabs>
          <w:tab w:leader="none" w:pos="2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Esperion Therapeutics,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8"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jc w:val="both"/>
        <w:ind w:right="140" w:firstLine="441"/>
        <w:spacing w:after="0" w:line="286" w:lineRule="auto"/>
        <w:rPr>
          <w:sz w:val="20"/>
          <w:szCs w:val="20"/>
          <w:color w:val="auto"/>
        </w:rPr>
      </w:pPr>
      <w:r>
        <w:rPr>
          <w:rFonts w:ascii="Arial" w:cs="Arial" w:eastAsia="Arial" w:hAnsi="Arial"/>
          <w:sz w:val="17"/>
          <w:szCs w:val="17"/>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66"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[To be dated no earlier than the 15th day prior to (i) the Exchange Date or (ii) the relevant Interest Payment Date occurring prior to the Exchange Date, as applicable]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Person Making Certification]</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02"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EXHIBIT B-2</w:t>
      </w:r>
    </w:p>
    <w:p>
      <w:pPr>
        <w:spacing w:after="0" w:line="225" w:lineRule="exact"/>
        <w:rPr>
          <w:sz w:val="20"/>
          <w:szCs w:val="20"/>
          <w:color w:val="auto"/>
        </w:rPr>
      </w:pPr>
    </w:p>
    <w:p>
      <w:pPr>
        <w:jc w:val="center"/>
        <w:ind w:left="260" w:right="20"/>
        <w:spacing w:after="0" w:line="277" w:lineRule="auto"/>
        <w:rPr>
          <w:sz w:val="20"/>
          <w:szCs w:val="20"/>
          <w:color w:val="auto"/>
        </w:rPr>
      </w:pPr>
      <w:r>
        <w:rPr>
          <w:rFonts w:ascii="Arial" w:cs="Arial" w:eastAsia="Arial" w:hAnsi="Arial"/>
          <w:sz w:val="18"/>
          <w:szCs w:val="18"/>
          <w:color w:val="auto"/>
        </w:rPr>
        <w:t>FORM OF CERTIFICATE TO BE GIVEN BY EUROCLEAR AND CLEARSTREAM S.A. IN CONNECTION WITH THE EXCHANGE OF A PORTION OF A TEMPORARY GLOBAL SECURITY OR TO OBTAIN INTEREST PAYABLE PRIOR TO THE EXCHANGE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20" w:firstLine="441"/>
        <w:spacing w:after="0" w:line="283"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Esperion Therapeutics, Inc. or its agent that such financial institution will comply with the requirements of Section 165(j)(3)(A), (B) or (C) of the Internal Revenue Code of 1986, as amended, and the regulations thereunder), or</w:t>
      </w:r>
    </w:p>
    <w:p>
      <w:pPr>
        <w:spacing w:after="0" w:line="6" w:lineRule="exact"/>
        <w:rPr>
          <w:sz w:val="20"/>
          <w:szCs w:val="20"/>
          <w:color w:val="auto"/>
        </w:rPr>
      </w:pPr>
    </w:p>
    <w:p>
      <w:pPr>
        <w:ind w:firstLine="8"/>
        <w:spacing w:after="0" w:line="254" w:lineRule="auto"/>
        <w:tabs>
          <w:tab w:leader="none" w:pos="3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9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be dated no earlier than the Exchange Date or the relevant Interest Payment Date occurring prior to the Exchange Date, as applicable]</w:t>
      </w:r>
    </w:p>
    <w:p>
      <w:pPr>
        <w:spacing w:after="0" w:line="237" w:lineRule="exact"/>
        <w:rPr>
          <w:sz w:val="20"/>
          <w:szCs w:val="20"/>
          <w:color w:val="auto"/>
        </w:rPr>
      </w:pPr>
    </w:p>
    <w:p>
      <w:pPr>
        <w:ind w:left="440"/>
        <w:spacing w:after="0"/>
        <w:tabs>
          <w:tab w:leader="none" w:pos="2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Operator of the Euroclear System] [Clearstream Banking Luxembourg]</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spacing w:after="0" w:line="45" w:lineRule="exact"/>
        <w:rPr>
          <w:sz w:val="20"/>
          <w:szCs w:val="20"/>
          <w:color w:val="auto"/>
        </w:rPr>
      </w:pPr>
    </w:p>
    <w:p>
      <w:pPr>
        <w:ind w:left="10580"/>
        <w:spacing w:after="0"/>
        <w:rPr>
          <w:sz w:val="20"/>
          <w:szCs w:val="20"/>
          <w:color w:val="auto"/>
        </w:rPr>
      </w:pPr>
      <w:r>
        <w:rPr>
          <w:rFonts w:ascii="Arial" w:cs="Arial" w:eastAsia="Arial" w:hAnsi="Arial"/>
          <w:sz w:val="17"/>
          <w:szCs w:val="17"/>
          <w:b w:val="1"/>
          <w:bCs w:val="1"/>
          <w:color w:val="auto"/>
        </w:rPr>
        <w:t>Exhibit 4.2</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ESPERION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4480" w:type="dxa"/>
            <w:vAlign w:val="bottom"/>
          </w:tcPr>
          <w:p>
            <w:pPr>
              <w:jc w:val="center"/>
              <w:ind w:left="3170"/>
              <w:spacing w:after="0"/>
              <w:rPr>
                <w:sz w:val="20"/>
                <w:szCs w:val="20"/>
                <w:color w:val="auto"/>
              </w:rPr>
            </w:pPr>
            <w:r>
              <w:rPr>
                <w:rFonts w:ascii="Arial" w:cs="Arial" w:eastAsia="Arial" w:hAnsi="Arial"/>
                <w:sz w:val="18"/>
                <w:szCs w:val="18"/>
                <w:color w:val="auto"/>
                <w:w w:val="88"/>
              </w:rPr>
              <w:t>Trustee</w:t>
            </w:r>
          </w:p>
        </w:tc>
        <w:tc>
          <w:tcPr>
            <w:tcW w:w="3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840" w:type="dxa"/>
            <w:vAlign w:val="bottom"/>
          </w:tcPr>
          <w:p>
            <w:pPr>
              <w:spacing w:after="0"/>
              <w:rPr>
                <w:sz w:val="24"/>
                <w:szCs w:val="24"/>
                <w:color w:val="auto"/>
              </w:rPr>
            </w:pPr>
          </w:p>
        </w:tc>
        <w:tc>
          <w:tcPr>
            <w:tcW w:w="4480" w:type="dxa"/>
            <w:vAlign w:val="bottom"/>
          </w:tcPr>
          <w:p>
            <w:pPr>
              <w:jc w:val="center"/>
              <w:ind w:left="3170"/>
              <w:spacing w:after="0"/>
              <w:rPr>
                <w:sz w:val="20"/>
                <w:szCs w:val="20"/>
                <w:color w:val="auto"/>
              </w:rPr>
            </w:pPr>
            <w:r>
              <w:rPr>
                <w:rFonts w:ascii="Arial" w:cs="Arial" w:eastAsia="Arial" w:hAnsi="Arial"/>
                <w:sz w:val="18"/>
                <w:szCs w:val="18"/>
                <w:color w:val="auto"/>
                <w:w w:val="91"/>
              </w:rPr>
              <w:t>Indenture</w:t>
            </w:r>
          </w:p>
        </w:tc>
        <w:tc>
          <w:tcPr>
            <w:tcW w:w="3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840" w:type="dxa"/>
            <w:vAlign w:val="bottom"/>
          </w:tcPr>
          <w:p>
            <w:pPr>
              <w:spacing w:after="0"/>
              <w:rPr>
                <w:sz w:val="24"/>
                <w:szCs w:val="24"/>
                <w:color w:val="auto"/>
              </w:rPr>
            </w:pPr>
          </w:p>
        </w:tc>
        <w:tc>
          <w:tcPr>
            <w:tcW w:w="4480" w:type="dxa"/>
            <w:vAlign w:val="bottom"/>
          </w:tcPr>
          <w:p>
            <w:pPr>
              <w:ind w:left="2840"/>
              <w:spacing w:after="0"/>
              <w:rPr>
                <w:sz w:val="20"/>
                <w:szCs w:val="20"/>
                <w:color w:val="auto"/>
              </w:rPr>
            </w:pPr>
            <w:r>
              <w:rPr>
                <w:rFonts w:ascii="Arial" w:cs="Arial" w:eastAsia="Arial" w:hAnsi="Arial"/>
                <w:sz w:val="18"/>
                <w:szCs w:val="18"/>
                <w:color w:val="auto"/>
              </w:rPr>
              <w:t>Dated as of</w:t>
            </w:r>
          </w:p>
        </w:tc>
        <w:tc>
          <w:tcPr>
            <w:tcW w:w="3960" w:type="dxa"/>
            <w:vAlign w:val="bottom"/>
          </w:tcPr>
          <w:p>
            <w:pPr>
              <w:jc w:val="right"/>
              <w:ind w:right="3430"/>
              <w:spacing w:after="0"/>
              <w:rPr>
                <w:sz w:val="20"/>
                <w:szCs w:val="20"/>
                <w:color w:val="auto"/>
              </w:rPr>
            </w:pPr>
            <w:r>
              <w:rPr>
                <w:rFonts w:ascii="Arial" w:cs="Arial" w:eastAsia="Arial" w:hAnsi="Arial"/>
                <w:sz w:val="18"/>
                <w:szCs w:val="18"/>
                <w:color w:val="auto"/>
              </w:rPr>
              <w:t>, 20</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840" w:type="dxa"/>
            <w:vAlign w:val="bottom"/>
          </w:tcPr>
          <w:p>
            <w:pPr>
              <w:spacing w:after="0"/>
              <w:rPr>
                <w:sz w:val="24"/>
                <w:szCs w:val="24"/>
                <w:color w:val="auto"/>
              </w:rPr>
            </w:pPr>
          </w:p>
        </w:tc>
        <w:tc>
          <w:tcPr>
            <w:tcW w:w="8440" w:type="dxa"/>
            <w:vAlign w:val="bottom"/>
            <w:gridSpan w:val="2"/>
          </w:tcPr>
          <w:p>
            <w:pPr>
              <w:jc w:val="center"/>
              <w:ind w:right="610"/>
              <w:spacing w:after="0"/>
              <w:rPr>
                <w:sz w:val="20"/>
                <w:szCs w:val="20"/>
                <w:color w:val="auto"/>
              </w:rPr>
            </w:pPr>
            <w:r>
              <w:rPr>
                <w:rFonts w:ascii="Arial" w:cs="Arial" w:eastAsia="Arial" w:hAnsi="Arial"/>
                <w:sz w:val="18"/>
                <w:szCs w:val="18"/>
                <w:color w:val="auto"/>
                <w:w w:val="89"/>
              </w:rPr>
              <w:t>Subordinated Debt Securities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1840" w:type="dxa"/>
            <w:vAlign w:val="bottom"/>
            <w:tcBorders>
              <w:bottom w:val="single" w:sz="8" w:color="808080"/>
            </w:tcBorders>
          </w:tcPr>
          <w:p>
            <w:pPr>
              <w:spacing w:after="0"/>
              <w:rPr>
                <w:sz w:val="24"/>
                <w:szCs w:val="24"/>
                <w:color w:val="auto"/>
              </w:rPr>
            </w:pPr>
          </w:p>
        </w:tc>
        <w:tc>
          <w:tcPr>
            <w:tcW w:w="8440" w:type="dxa"/>
            <w:vAlign w:val="bottom"/>
            <w:tcBorders>
              <w:bottom w:val="single" w:sz="8" w:color="808080"/>
            </w:tcBorders>
            <w:gridSpan w:val="2"/>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780"/>
        </w:trPr>
        <w:tc>
          <w:tcPr>
            <w:tcW w:w="1840" w:type="dxa"/>
            <w:vAlign w:val="bottom"/>
          </w:tcPr>
          <w:p>
            <w:pPr>
              <w:spacing w:after="0"/>
              <w:rPr>
                <w:sz w:val="24"/>
                <w:szCs w:val="24"/>
                <w:color w:val="auto"/>
              </w:rPr>
            </w:pPr>
          </w:p>
        </w:tc>
        <w:tc>
          <w:tcPr>
            <w:tcW w:w="8440" w:type="dxa"/>
            <w:vAlign w:val="bottom"/>
            <w:gridSpan w:val="2"/>
          </w:tcPr>
          <w:p>
            <w:pPr>
              <w:jc w:val="center"/>
              <w:ind w:right="610"/>
              <w:spacing w:after="0"/>
              <w:rPr>
                <w:sz w:val="20"/>
                <w:szCs w:val="20"/>
                <w:color w:val="auto"/>
              </w:rPr>
            </w:pPr>
            <w:r>
              <w:rPr>
                <w:rFonts w:ascii="Arial" w:cs="Arial" w:eastAsia="Arial" w:hAnsi="Arial"/>
                <w:sz w:val="18"/>
                <w:szCs w:val="18"/>
                <w:color w:val="auto"/>
                <w:w w:val="95"/>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8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280" w:type="dxa"/>
            <w:vAlign w:val="bottom"/>
            <w:gridSpan w:val="3"/>
          </w:tcPr>
          <w:p>
            <w:pPr>
              <w:spacing w:after="0"/>
              <w:rPr>
                <w:sz w:val="20"/>
                <w:szCs w:val="20"/>
                <w:color w:val="auto"/>
              </w:rPr>
            </w:pPr>
            <w:r>
              <w:rPr>
                <w:rFonts w:ascii="Arial" w:cs="Arial" w:eastAsia="Arial" w:hAnsi="Arial"/>
                <w:sz w:val="18"/>
                <w:szCs w:val="18"/>
                <w:color w:val="auto"/>
              </w:rPr>
              <w:t>ARTICLE ONE - DEFINITIONS AND OTHER PROVISIONS OF GENERAL APPLICATION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840" w:type="dxa"/>
            <w:vAlign w:val="bottom"/>
          </w:tcPr>
          <w:p>
            <w:pPr>
              <w:ind w:left="400"/>
              <w:spacing w:after="0"/>
              <w:rPr>
                <w:sz w:val="20"/>
                <w:szCs w:val="20"/>
                <w:color w:val="auto"/>
              </w:rPr>
            </w:pPr>
            <w:r>
              <w:rPr>
                <w:rFonts w:ascii="Arial" w:cs="Arial" w:eastAsia="Arial" w:hAnsi="Arial"/>
                <w:sz w:val="18"/>
                <w:szCs w:val="18"/>
                <w:color w:val="auto"/>
              </w:rPr>
              <w:t>SECTION 101.</w:t>
            </w:r>
          </w:p>
        </w:tc>
        <w:tc>
          <w:tcPr>
            <w:tcW w:w="448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396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102.</w:t>
            </w:r>
          </w:p>
        </w:tc>
        <w:tc>
          <w:tcPr>
            <w:tcW w:w="4480" w:type="dxa"/>
            <w:vAlign w:val="bottom"/>
          </w:tcPr>
          <w:p>
            <w:pPr>
              <w:ind w:left="320"/>
              <w:spacing w:after="0"/>
              <w:rPr>
                <w:sz w:val="20"/>
                <w:szCs w:val="20"/>
                <w:color w:val="auto"/>
              </w:rPr>
            </w:pPr>
            <w:r>
              <w:rPr>
                <w:rFonts w:ascii="Arial" w:cs="Arial" w:eastAsia="Arial" w:hAnsi="Arial"/>
                <w:sz w:val="18"/>
                <w:szCs w:val="18"/>
                <w:color w:val="auto"/>
              </w:rPr>
              <w:t>Compliance Certificates and Opinions</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103.</w:t>
            </w:r>
          </w:p>
        </w:tc>
        <w:tc>
          <w:tcPr>
            <w:tcW w:w="4480" w:type="dxa"/>
            <w:vAlign w:val="bottom"/>
          </w:tcPr>
          <w:p>
            <w:pPr>
              <w:ind w:left="320"/>
              <w:spacing w:after="0"/>
              <w:rPr>
                <w:sz w:val="20"/>
                <w:szCs w:val="20"/>
                <w:color w:val="auto"/>
              </w:rPr>
            </w:pPr>
            <w:r>
              <w:rPr>
                <w:rFonts w:ascii="Arial" w:cs="Arial" w:eastAsia="Arial" w:hAnsi="Arial"/>
                <w:sz w:val="18"/>
                <w:szCs w:val="18"/>
                <w:color w:val="auto"/>
              </w:rPr>
              <w:t>Form of Documents Delivered to Trustee</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104.</w:t>
            </w:r>
          </w:p>
        </w:tc>
        <w:tc>
          <w:tcPr>
            <w:tcW w:w="4480" w:type="dxa"/>
            <w:vAlign w:val="bottom"/>
          </w:tcPr>
          <w:p>
            <w:pPr>
              <w:ind w:left="320"/>
              <w:spacing w:after="0"/>
              <w:rPr>
                <w:sz w:val="20"/>
                <w:szCs w:val="20"/>
                <w:color w:val="auto"/>
              </w:rPr>
            </w:pPr>
            <w:r>
              <w:rPr>
                <w:rFonts w:ascii="Arial" w:cs="Arial" w:eastAsia="Arial" w:hAnsi="Arial"/>
                <w:sz w:val="18"/>
                <w:szCs w:val="18"/>
                <w:color w:val="auto"/>
              </w:rPr>
              <w:t>Acts of Holders</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105.</w:t>
            </w:r>
          </w:p>
        </w:tc>
        <w:tc>
          <w:tcPr>
            <w:tcW w:w="4480" w:type="dxa"/>
            <w:vAlign w:val="bottom"/>
          </w:tcPr>
          <w:p>
            <w:pPr>
              <w:ind w:left="320"/>
              <w:spacing w:after="0"/>
              <w:rPr>
                <w:sz w:val="20"/>
                <w:szCs w:val="20"/>
                <w:color w:val="auto"/>
              </w:rPr>
            </w:pPr>
            <w:r>
              <w:rPr>
                <w:rFonts w:ascii="Arial" w:cs="Arial" w:eastAsia="Arial" w:hAnsi="Arial"/>
                <w:sz w:val="18"/>
                <w:szCs w:val="18"/>
                <w:color w:val="auto"/>
              </w:rPr>
              <w:t>Notices, etc., to Trustee and Company</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106.</w:t>
            </w:r>
          </w:p>
        </w:tc>
        <w:tc>
          <w:tcPr>
            <w:tcW w:w="4480" w:type="dxa"/>
            <w:vAlign w:val="bottom"/>
          </w:tcPr>
          <w:p>
            <w:pPr>
              <w:ind w:left="320"/>
              <w:spacing w:after="0"/>
              <w:rPr>
                <w:sz w:val="20"/>
                <w:szCs w:val="20"/>
                <w:color w:val="auto"/>
              </w:rPr>
            </w:pPr>
            <w:r>
              <w:rPr>
                <w:rFonts w:ascii="Arial" w:cs="Arial" w:eastAsia="Arial" w:hAnsi="Arial"/>
                <w:sz w:val="18"/>
                <w:szCs w:val="18"/>
                <w:color w:val="auto"/>
              </w:rPr>
              <w:t>Notice to Holders; Waiver</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107.</w:t>
            </w:r>
          </w:p>
        </w:tc>
        <w:tc>
          <w:tcPr>
            <w:tcW w:w="4480" w:type="dxa"/>
            <w:vAlign w:val="bottom"/>
          </w:tcPr>
          <w:p>
            <w:pPr>
              <w:ind w:left="320"/>
              <w:spacing w:after="0"/>
              <w:rPr>
                <w:sz w:val="20"/>
                <w:szCs w:val="20"/>
                <w:color w:val="auto"/>
              </w:rPr>
            </w:pPr>
            <w:r>
              <w:rPr>
                <w:rFonts w:ascii="Arial" w:cs="Arial" w:eastAsia="Arial" w:hAnsi="Arial"/>
                <w:sz w:val="18"/>
                <w:szCs w:val="18"/>
                <w:color w:val="auto"/>
                <w:w w:val="93"/>
              </w:rPr>
              <w:t>Counterparts; Effect of Headings and Table of Contents</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108.</w:t>
            </w:r>
          </w:p>
        </w:tc>
        <w:tc>
          <w:tcPr>
            <w:tcW w:w="448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109.</w:t>
            </w:r>
          </w:p>
        </w:tc>
        <w:tc>
          <w:tcPr>
            <w:tcW w:w="4480" w:type="dxa"/>
            <w:vAlign w:val="bottom"/>
          </w:tcPr>
          <w:p>
            <w:pPr>
              <w:ind w:left="320"/>
              <w:spacing w:after="0"/>
              <w:rPr>
                <w:sz w:val="20"/>
                <w:szCs w:val="20"/>
                <w:color w:val="auto"/>
              </w:rPr>
            </w:pPr>
            <w:r>
              <w:rPr>
                <w:rFonts w:ascii="Arial" w:cs="Arial" w:eastAsia="Arial" w:hAnsi="Arial"/>
                <w:sz w:val="18"/>
                <w:szCs w:val="18"/>
                <w:color w:val="auto"/>
              </w:rPr>
              <w:t>Severability Clause</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110.</w:t>
            </w:r>
          </w:p>
        </w:tc>
        <w:tc>
          <w:tcPr>
            <w:tcW w:w="4480" w:type="dxa"/>
            <w:vAlign w:val="bottom"/>
          </w:tcPr>
          <w:p>
            <w:pPr>
              <w:ind w:left="320"/>
              <w:spacing w:after="0"/>
              <w:rPr>
                <w:sz w:val="20"/>
                <w:szCs w:val="20"/>
                <w:color w:val="auto"/>
              </w:rPr>
            </w:pPr>
            <w:r>
              <w:rPr>
                <w:rFonts w:ascii="Arial" w:cs="Arial" w:eastAsia="Arial" w:hAnsi="Arial"/>
                <w:sz w:val="18"/>
                <w:szCs w:val="18"/>
                <w:color w:val="auto"/>
              </w:rPr>
              <w:t>Benefits of Indenture</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111.</w:t>
            </w:r>
          </w:p>
        </w:tc>
        <w:tc>
          <w:tcPr>
            <w:tcW w:w="448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112.</w:t>
            </w:r>
          </w:p>
        </w:tc>
        <w:tc>
          <w:tcPr>
            <w:tcW w:w="4480" w:type="dxa"/>
            <w:vAlign w:val="bottom"/>
          </w:tcPr>
          <w:p>
            <w:pPr>
              <w:ind w:left="320"/>
              <w:spacing w:after="0"/>
              <w:rPr>
                <w:sz w:val="20"/>
                <w:szCs w:val="20"/>
                <w:color w:val="auto"/>
              </w:rPr>
            </w:pPr>
            <w:r>
              <w:rPr>
                <w:rFonts w:ascii="Arial" w:cs="Arial" w:eastAsia="Arial" w:hAnsi="Arial"/>
                <w:sz w:val="18"/>
                <w:szCs w:val="18"/>
                <w:color w:val="auto"/>
              </w:rPr>
              <w:t>Legal Holidays</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113.</w:t>
            </w: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Limited Liability; Immunity of Stockholders, Directors, Officers and Agents of the Company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1840" w:type="dxa"/>
            <w:vAlign w:val="bottom"/>
          </w:tcPr>
          <w:p>
            <w:pPr>
              <w:ind w:left="400"/>
              <w:spacing w:after="0"/>
              <w:rPr>
                <w:sz w:val="20"/>
                <w:szCs w:val="20"/>
                <w:color w:val="auto"/>
              </w:rPr>
            </w:pPr>
            <w:r>
              <w:rPr>
                <w:rFonts w:ascii="Arial" w:cs="Arial" w:eastAsia="Arial" w:hAnsi="Arial"/>
                <w:sz w:val="18"/>
                <w:szCs w:val="18"/>
                <w:color w:val="auto"/>
              </w:rPr>
              <w:t>SECTION 114.</w:t>
            </w:r>
          </w:p>
        </w:tc>
        <w:tc>
          <w:tcPr>
            <w:tcW w:w="4480" w:type="dxa"/>
            <w:vAlign w:val="bottom"/>
          </w:tcPr>
          <w:p>
            <w:pPr>
              <w:ind w:left="320"/>
              <w:spacing w:after="0"/>
              <w:rPr>
                <w:sz w:val="20"/>
                <w:szCs w:val="20"/>
                <w:color w:val="auto"/>
              </w:rPr>
            </w:pPr>
            <w:r>
              <w:rPr>
                <w:rFonts w:ascii="Arial" w:cs="Arial" w:eastAsia="Arial" w:hAnsi="Arial"/>
                <w:sz w:val="18"/>
                <w:szCs w:val="18"/>
                <w:color w:val="auto"/>
              </w:rPr>
              <w:t>Conflict with Trust Indenture Act</w:t>
            </w:r>
          </w:p>
        </w:tc>
        <w:tc>
          <w:tcPr>
            <w:tcW w:w="39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color w:val="auto"/>
              </w:rPr>
              <w:t>ARTICLE TWO - SECURITIES FORMS</w:t>
            </w:r>
          </w:p>
        </w:tc>
        <w:tc>
          <w:tcPr>
            <w:tcW w:w="396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18"/>
        </w:trPr>
        <w:tc>
          <w:tcPr>
            <w:tcW w:w="1840" w:type="dxa"/>
            <w:vAlign w:val="bottom"/>
          </w:tcPr>
          <w:p>
            <w:pPr>
              <w:ind w:left="400"/>
              <w:spacing w:after="0"/>
              <w:rPr>
                <w:sz w:val="20"/>
                <w:szCs w:val="20"/>
                <w:color w:val="auto"/>
              </w:rPr>
            </w:pPr>
            <w:r>
              <w:rPr>
                <w:rFonts w:ascii="Arial" w:cs="Arial" w:eastAsia="Arial" w:hAnsi="Arial"/>
                <w:sz w:val="18"/>
                <w:szCs w:val="18"/>
                <w:color w:val="auto"/>
              </w:rPr>
              <w:t>SECTION 201.</w:t>
            </w:r>
          </w:p>
        </w:tc>
        <w:tc>
          <w:tcPr>
            <w:tcW w:w="4480" w:type="dxa"/>
            <w:vAlign w:val="bottom"/>
          </w:tcPr>
          <w:p>
            <w:pPr>
              <w:ind w:left="320"/>
              <w:spacing w:after="0"/>
              <w:rPr>
                <w:sz w:val="20"/>
                <w:szCs w:val="20"/>
                <w:color w:val="auto"/>
              </w:rPr>
            </w:pPr>
            <w:r>
              <w:rPr>
                <w:rFonts w:ascii="Arial" w:cs="Arial" w:eastAsia="Arial" w:hAnsi="Arial"/>
                <w:sz w:val="18"/>
                <w:szCs w:val="18"/>
                <w:color w:val="auto"/>
              </w:rPr>
              <w:t>Forms of Securities</w:t>
            </w:r>
          </w:p>
        </w:tc>
        <w:tc>
          <w:tcPr>
            <w:tcW w:w="396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202.</w:t>
            </w:r>
          </w:p>
        </w:tc>
        <w:tc>
          <w:tcPr>
            <w:tcW w:w="4480" w:type="dxa"/>
            <w:vAlign w:val="bottom"/>
          </w:tcPr>
          <w:p>
            <w:pPr>
              <w:ind w:left="320"/>
              <w:spacing w:after="0"/>
              <w:rPr>
                <w:sz w:val="20"/>
                <w:szCs w:val="20"/>
                <w:color w:val="auto"/>
              </w:rPr>
            </w:pPr>
            <w:r>
              <w:rPr>
                <w:rFonts w:ascii="Arial" w:cs="Arial" w:eastAsia="Arial" w:hAnsi="Arial"/>
                <w:sz w:val="18"/>
                <w:szCs w:val="18"/>
                <w:color w:val="auto"/>
              </w:rPr>
              <w:t>Form of Trustee’s Certificate of Authentication</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1840" w:type="dxa"/>
            <w:vAlign w:val="bottom"/>
          </w:tcPr>
          <w:p>
            <w:pPr>
              <w:ind w:left="400"/>
              <w:spacing w:after="0"/>
              <w:rPr>
                <w:sz w:val="20"/>
                <w:szCs w:val="20"/>
                <w:color w:val="auto"/>
              </w:rPr>
            </w:pPr>
            <w:r>
              <w:rPr>
                <w:rFonts w:ascii="Arial" w:cs="Arial" w:eastAsia="Arial" w:hAnsi="Arial"/>
                <w:sz w:val="18"/>
                <w:szCs w:val="18"/>
                <w:color w:val="auto"/>
              </w:rPr>
              <w:t>SECTION 203.</w:t>
            </w:r>
          </w:p>
        </w:tc>
        <w:tc>
          <w:tcPr>
            <w:tcW w:w="4480" w:type="dxa"/>
            <w:vAlign w:val="bottom"/>
          </w:tcPr>
          <w:p>
            <w:pPr>
              <w:ind w:left="320"/>
              <w:spacing w:after="0"/>
              <w:rPr>
                <w:sz w:val="20"/>
                <w:szCs w:val="20"/>
                <w:color w:val="auto"/>
              </w:rPr>
            </w:pPr>
            <w:r>
              <w:rPr>
                <w:rFonts w:ascii="Arial" w:cs="Arial" w:eastAsia="Arial" w:hAnsi="Arial"/>
                <w:sz w:val="18"/>
                <w:szCs w:val="18"/>
                <w:color w:val="auto"/>
              </w:rPr>
              <w:t>Securities Issuable in Global Form</w:t>
            </w:r>
          </w:p>
        </w:tc>
        <w:tc>
          <w:tcPr>
            <w:tcW w:w="39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color w:val="auto"/>
              </w:rPr>
              <w:t>ARTICLE THREE - THE SECURITIES</w:t>
            </w:r>
          </w:p>
        </w:tc>
        <w:tc>
          <w:tcPr>
            <w:tcW w:w="396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18"/>
        </w:trPr>
        <w:tc>
          <w:tcPr>
            <w:tcW w:w="1840" w:type="dxa"/>
            <w:vAlign w:val="bottom"/>
          </w:tcPr>
          <w:p>
            <w:pPr>
              <w:ind w:left="400"/>
              <w:spacing w:after="0"/>
              <w:rPr>
                <w:sz w:val="20"/>
                <w:szCs w:val="20"/>
                <w:color w:val="auto"/>
              </w:rPr>
            </w:pPr>
            <w:r>
              <w:rPr>
                <w:rFonts w:ascii="Arial" w:cs="Arial" w:eastAsia="Arial" w:hAnsi="Arial"/>
                <w:sz w:val="18"/>
                <w:szCs w:val="18"/>
                <w:color w:val="auto"/>
              </w:rPr>
              <w:t>SECTION 301.</w:t>
            </w:r>
          </w:p>
        </w:tc>
        <w:tc>
          <w:tcPr>
            <w:tcW w:w="4480" w:type="dxa"/>
            <w:vAlign w:val="bottom"/>
          </w:tcPr>
          <w:p>
            <w:pPr>
              <w:ind w:left="320"/>
              <w:spacing w:after="0"/>
              <w:rPr>
                <w:sz w:val="20"/>
                <w:szCs w:val="20"/>
                <w:color w:val="auto"/>
              </w:rPr>
            </w:pPr>
            <w:r>
              <w:rPr>
                <w:rFonts w:ascii="Arial" w:cs="Arial" w:eastAsia="Arial" w:hAnsi="Arial"/>
                <w:sz w:val="18"/>
                <w:szCs w:val="18"/>
                <w:color w:val="auto"/>
              </w:rPr>
              <w:t>Amount Unlimited; Issuable in Series</w:t>
            </w:r>
          </w:p>
        </w:tc>
        <w:tc>
          <w:tcPr>
            <w:tcW w:w="396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302.</w:t>
            </w:r>
          </w:p>
        </w:tc>
        <w:tc>
          <w:tcPr>
            <w:tcW w:w="4480" w:type="dxa"/>
            <w:vAlign w:val="bottom"/>
          </w:tcPr>
          <w:p>
            <w:pPr>
              <w:ind w:left="320"/>
              <w:spacing w:after="0"/>
              <w:rPr>
                <w:sz w:val="20"/>
                <w:szCs w:val="20"/>
                <w:color w:val="auto"/>
              </w:rPr>
            </w:pPr>
            <w:r>
              <w:rPr>
                <w:rFonts w:ascii="Arial" w:cs="Arial" w:eastAsia="Arial" w:hAnsi="Arial"/>
                <w:sz w:val="18"/>
                <w:szCs w:val="18"/>
                <w:color w:val="auto"/>
              </w:rPr>
              <w:t>Denominations</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303.</w:t>
            </w:r>
          </w:p>
        </w:tc>
        <w:tc>
          <w:tcPr>
            <w:tcW w:w="4480" w:type="dxa"/>
            <w:vAlign w:val="bottom"/>
          </w:tcPr>
          <w:p>
            <w:pPr>
              <w:ind w:left="320"/>
              <w:spacing w:after="0"/>
              <w:rPr>
                <w:sz w:val="20"/>
                <w:szCs w:val="20"/>
                <w:color w:val="auto"/>
              </w:rPr>
            </w:pPr>
            <w:r>
              <w:rPr>
                <w:rFonts w:ascii="Arial" w:cs="Arial" w:eastAsia="Arial" w:hAnsi="Arial"/>
                <w:sz w:val="18"/>
                <w:szCs w:val="18"/>
                <w:color w:val="auto"/>
              </w:rPr>
              <w:t>Execution, Authentication, Delivery and Dating</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304.</w:t>
            </w:r>
          </w:p>
        </w:tc>
        <w:tc>
          <w:tcPr>
            <w:tcW w:w="4480" w:type="dxa"/>
            <w:vAlign w:val="bottom"/>
          </w:tcPr>
          <w:p>
            <w:pPr>
              <w:ind w:left="320"/>
              <w:spacing w:after="0"/>
              <w:rPr>
                <w:sz w:val="20"/>
                <w:szCs w:val="20"/>
                <w:color w:val="auto"/>
              </w:rPr>
            </w:pPr>
            <w:r>
              <w:rPr>
                <w:rFonts w:ascii="Arial" w:cs="Arial" w:eastAsia="Arial" w:hAnsi="Arial"/>
                <w:sz w:val="18"/>
                <w:szCs w:val="18"/>
                <w:color w:val="auto"/>
              </w:rPr>
              <w:t>Temporary Securities</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305.</w:t>
            </w: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Registration, Registration of Transfer, Conversion and Exchange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306.</w:t>
            </w:r>
          </w:p>
        </w:tc>
        <w:tc>
          <w:tcPr>
            <w:tcW w:w="4480" w:type="dxa"/>
            <w:vAlign w:val="bottom"/>
          </w:tcPr>
          <w:p>
            <w:pPr>
              <w:ind w:left="320"/>
              <w:spacing w:after="0"/>
              <w:rPr>
                <w:sz w:val="20"/>
                <w:szCs w:val="20"/>
                <w:color w:val="auto"/>
              </w:rPr>
            </w:pPr>
            <w:r>
              <w:rPr>
                <w:rFonts w:ascii="Arial" w:cs="Arial" w:eastAsia="Arial" w:hAnsi="Arial"/>
                <w:sz w:val="18"/>
                <w:szCs w:val="18"/>
                <w:color w:val="auto"/>
              </w:rPr>
              <w:t>Mutilated, Destroyed, Lost and Stolen Securities</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307.</w:t>
            </w:r>
          </w:p>
        </w:tc>
        <w:tc>
          <w:tcPr>
            <w:tcW w:w="4480" w:type="dxa"/>
            <w:vAlign w:val="bottom"/>
          </w:tcPr>
          <w:p>
            <w:pPr>
              <w:ind w:left="320"/>
              <w:spacing w:after="0"/>
              <w:rPr>
                <w:sz w:val="20"/>
                <w:szCs w:val="20"/>
                <w:color w:val="auto"/>
              </w:rPr>
            </w:pPr>
            <w:r>
              <w:rPr>
                <w:rFonts w:ascii="Arial" w:cs="Arial" w:eastAsia="Arial" w:hAnsi="Arial"/>
                <w:sz w:val="18"/>
                <w:szCs w:val="18"/>
                <w:color w:val="auto"/>
              </w:rPr>
              <w:t>Payment of Interest; Interest Rights Preserved</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308.</w:t>
            </w:r>
          </w:p>
        </w:tc>
        <w:tc>
          <w:tcPr>
            <w:tcW w:w="4480" w:type="dxa"/>
            <w:vAlign w:val="bottom"/>
          </w:tcPr>
          <w:p>
            <w:pPr>
              <w:ind w:left="320"/>
              <w:spacing w:after="0"/>
              <w:rPr>
                <w:sz w:val="20"/>
                <w:szCs w:val="20"/>
                <w:color w:val="auto"/>
              </w:rPr>
            </w:pPr>
            <w:r>
              <w:rPr>
                <w:rFonts w:ascii="Arial" w:cs="Arial" w:eastAsia="Arial" w:hAnsi="Arial"/>
                <w:sz w:val="18"/>
                <w:szCs w:val="18"/>
                <w:color w:val="auto"/>
              </w:rPr>
              <w:t>Persons Deemed Owners</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309.</w:t>
            </w:r>
          </w:p>
        </w:tc>
        <w:tc>
          <w:tcPr>
            <w:tcW w:w="4480" w:type="dxa"/>
            <w:vAlign w:val="bottom"/>
          </w:tcPr>
          <w:p>
            <w:pPr>
              <w:ind w:left="320"/>
              <w:spacing w:after="0"/>
              <w:rPr>
                <w:sz w:val="20"/>
                <w:szCs w:val="20"/>
                <w:color w:val="auto"/>
              </w:rPr>
            </w:pPr>
            <w:r>
              <w:rPr>
                <w:rFonts w:ascii="Arial" w:cs="Arial" w:eastAsia="Arial" w:hAnsi="Arial"/>
                <w:sz w:val="18"/>
                <w:szCs w:val="18"/>
                <w:color w:val="auto"/>
              </w:rPr>
              <w:t>Cancellation</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310.</w:t>
            </w:r>
          </w:p>
        </w:tc>
        <w:tc>
          <w:tcPr>
            <w:tcW w:w="4480" w:type="dxa"/>
            <w:vAlign w:val="bottom"/>
          </w:tcPr>
          <w:p>
            <w:pPr>
              <w:ind w:left="320"/>
              <w:spacing w:after="0"/>
              <w:rPr>
                <w:sz w:val="20"/>
                <w:szCs w:val="20"/>
                <w:color w:val="auto"/>
              </w:rPr>
            </w:pPr>
            <w:r>
              <w:rPr>
                <w:rFonts w:ascii="Arial" w:cs="Arial" w:eastAsia="Arial" w:hAnsi="Arial"/>
                <w:sz w:val="18"/>
                <w:szCs w:val="18"/>
                <w:color w:val="auto"/>
              </w:rPr>
              <w:t>Computation of Interest</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30"/>
        </w:trPr>
        <w:tc>
          <w:tcPr>
            <w:tcW w:w="1840" w:type="dxa"/>
            <w:vAlign w:val="bottom"/>
          </w:tcPr>
          <w:p>
            <w:pPr>
              <w:ind w:left="400"/>
              <w:spacing w:after="0"/>
              <w:rPr>
                <w:sz w:val="20"/>
                <w:szCs w:val="20"/>
                <w:color w:val="auto"/>
              </w:rPr>
            </w:pPr>
            <w:r>
              <w:rPr>
                <w:rFonts w:ascii="Arial" w:cs="Arial" w:eastAsia="Arial" w:hAnsi="Arial"/>
                <w:sz w:val="18"/>
                <w:szCs w:val="18"/>
                <w:color w:val="auto"/>
              </w:rPr>
              <w:t>SECTION 311.</w:t>
            </w:r>
          </w:p>
        </w:tc>
        <w:tc>
          <w:tcPr>
            <w:tcW w:w="4480" w:type="dxa"/>
            <w:vAlign w:val="bottom"/>
          </w:tcPr>
          <w:p>
            <w:pPr>
              <w:ind w:left="320"/>
              <w:spacing w:after="0"/>
              <w:rPr>
                <w:sz w:val="20"/>
                <w:szCs w:val="20"/>
                <w:color w:val="auto"/>
              </w:rPr>
            </w:pPr>
            <w:r>
              <w:rPr>
                <w:rFonts w:ascii="Arial" w:cs="Arial" w:eastAsia="Arial" w:hAnsi="Arial"/>
                <w:sz w:val="18"/>
                <w:szCs w:val="18"/>
                <w:color w:val="auto"/>
              </w:rPr>
              <w:t>CUSIP Numbers</w:t>
            </w:r>
          </w:p>
        </w:tc>
        <w:tc>
          <w:tcPr>
            <w:tcW w:w="39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color w:val="auto"/>
              </w:rPr>
              <w:t>ARTICLE FOUR - SATISFACTION AND DISCHARGE</w:t>
            </w:r>
          </w:p>
        </w:tc>
        <w:tc>
          <w:tcPr>
            <w:tcW w:w="396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418"/>
        </w:trPr>
        <w:tc>
          <w:tcPr>
            <w:tcW w:w="1840" w:type="dxa"/>
            <w:vAlign w:val="bottom"/>
          </w:tcPr>
          <w:p>
            <w:pPr>
              <w:ind w:left="400"/>
              <w:spacing w:after="0"/>
              <w:rPr>
                <w:sz w:val="20"/>
                <w:szCs w:val="20"/>
                <w:color w:val="auto"/>
              </w:rPr>
            </w:pPr>
            <w:r>
              <w:rPr>
                <w:rFonts w:ascii="Arial" w:cs="Arial" w:eastAsia="Arial" w:hAnsi="Arial"/>
                <w:sz w:val="18"/>
                <w:szCs w:val="18"/>
                <w:color w:val="auto"/>
              </w:rPr>
              <w:t>SECTION 401.</w:t>
            </w:r>
          </w:p>
        </w:tc>
        <w:tc>
          <w:tcPr>
            <w:tcW w:w="4480" w:type="dxa"/>
            <w:vAlign w:val="bottom"/>
          </w:tcPr>
          <w:p>
            <w:pPr>
              <w:ind w:left="320"/>
              <w:spacing w:after="0"/>
              <w:rPr>
                <w:sz w:val="20"/>
                <w:szCs w:val="20"/>
                <w:color w:val="auto"/>
              </w:rPr>
            </w:pPr>
            <w:r>
              <w:rPr>
                <w:rFonts w:ascii="Arial" w:cs="Arial" w:eastAsia="Arial" w:hAnsi="Arial"/>
                <w:sz w:val="18"/>
                <w:szCs w:val="18"/>
                <w:color w:val="auto"/>
              </w:rPr>
              <w:t>Satisfaction and Discharge of Indenture</w:t>
            </w:r>
          </w:p>
        </w:tc>
        <w:tc>
          <w:tcPr>
            <w:tcW w:w="396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30"/>
        </w:trPr>
        <w:tc>
          <w:tcPr>
            <w:tcW w:w="1840" w:type="dxa"/>
            <w:vAlign w:val="bottom"/>
          </w:tcPr>
          <w:p>
            <w:pPr>
              <w:ind w:left="400"/>
              <w:spacing w:after="0"/>
              <w:rPr>
                <w:sz w:val="20"/>
                <w:szCs w:val="20"/>
                <w:color w:val="auto"/>
              </w:rPr>
            </w:pPr>
            <w:r>
              <w:rPr>
                <w:rFonts w:ascii="Arial" w:cs="Arial" w:eastAsia="Arial" w:hAnsi="Arial"/>
                <w:sz w:val="18"/>
                <w:szCs w:val="18"/>
                <w:color w:val="auto"/>
              </w:rPr>
              <w:t>SECTION 402.</w:t>
            </w:r>
          </w:p>
        </w:tc>
        <w:tc>
          <w:tcPr>
            <w:tcW w:w="4480" w:type="dxa"/>
            <w:vAlign w:val="bottom"/>
          </w:tcPr>
          <w:p>
            <w:pPr>
              <w:ind w:left="320"/>
              <w:spacing w:after="0"/>
              <w:rPr>
                <w:sz w:val="20"/>
                <w:szCs w:val="20"/>
                <w:color w:val="auto"/>
              </w:rPr>
            </w:pPr>
            <w:r>
              <w:rPr>
                <w:rFonts w:ascii="Arial" w:cs="Arial" w:eastAsia="Arial" w:hAnsi="Arial"/>
                <w:sz w:val="18"/>
                <w:szCs w:val="18"/>
                <w:color w:val="auto"/>
              </w:rPr>
              <w:t>Application of Trust Funds</w:t>
            </w:r>
          </w:p>
        </w:tc>
        <w:tc>
          <w:tcPr>
            <w:tcW w:w="39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432"/>
        </w:trPr>
        <w:tc>
          <w:tcPr>
            <w:tcW w:w="1840" w:type="dxa"/>
            <w:vAlign w:val="bottom"/>
          </w:tcPr>
          <w:p>
            <w:pPr>
              <w:spacing w:after="0"/>
              <w:rPr>
                <w:sz w:val="24"/>
                <w:szCs w:val="24"/>
                <w:color w:val="auto"/>
              </w:rPr>
            </w:pPr>
          </w:p>
        </w:tc>
        <w:tc>
          <w:tcPr>
            <w:tcW w:w="4480" w:type="dxa"/>
            <w:vAlign w:val="bottom"/>
          </w:tcPr>
          <w:p>
            <w:pPr>
              <w:jc w:val="center"/>
              <w:ind w:left="3170"/>
              <w:spacing w:after="0"/>
              <w:rPr>
                <w:sz w:val="20"/>
                <w:szCs w:val="20"/>
                <w:color w:val="auto"/>
              </w:rPr>
            </w:pPr>
            <w:r>
              <w:rPr>
                <w:rFonts w:ascii="Arial" w:cs="Arial" w:eastAsia="Arial" w:hAnsi="Arial"/>
                <w:sz w:val="18"/>
                <w:szCs w:val="18"/>
                <w:color w:val="auto"/>
              </w:rPr>
              <w:t>i</w:t>
            </w:r>
          </w:p>
        </w:tc>
        <w:tc>
          <w:tcPr>
            <w:tcW w:w="3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20" w:type="dxa"/>
            <w:vAlign w:val="bottom"/>
            <w:tcBorders>
              <w:bottom w:val="single" w:sz="8" w:color="808080"/>
            </w:tcBorders>
            <w:gridSpan w:val="2"/>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gridSpan w:val="2"/>
          </w:tcPr>
          <w:p>
            <w:pPr>
              <w:spacing w:after="0"/>
              <w:rPr>
                <w:sz w:val="11"/>
                <w:szCs w:val="11"/>
                <w:color w:val="auto"/>
              </w:rPr>
            </w:pPr>
          </w:p>
        </w:tc>
      </w:tr>
      <w:tr>
        <w:trPr>
          <w:trHeight w:val="780"/>
        </w:trPr>
        <w:tc>
          <w:tcPr>
            <w:tcW w:w="6320" w:type="dxa"/>
            <w:vAlign w:val="bottom"/>
            <w:gridSpan w:val="2"/>
          </w:tcPr>
          <w:p>
            <w:pPr>
              <w:spacing w:after="0"/>
              <w:rPr>
                <w:sz w:val="20"/>
                <w:szCs w:val="20"/>
                <w:color w:val="auto"/>
              </w:rPr>
            </w:pPr>
            <w:r>
              <w:rPr>
                <w:rFonts w:ascii="Arial" w:cs="Arial" w:eastAsia="Arial" w:hAnsi="Arial"/>
                <w:sz w:val="18"/>
                <w:szCs w:val="18"/>
                <w:color w:val="auto"/>
              </w:rPr>
              <w:t>ARTICLE FIVE - REMEDIES</w:t>
            </w:r>
          </w:p>
        </w:tc>
        <w:tc>
          <w:tcPr>
            <w:tcW w:w="396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418"/>
        </w:trPr>
        <w:tc>
          <w:tcPr>
            <w:tcW w:w="1840" w:type="dxa"/>
            <w:vAlign w:val="bottom"/>
          </w:tcPr>
          <w:p>
            <w:pPr>
              <w:ind w:left="400"/>
              <w:spacing w:after="0"/>
              <w:rPr>
                <w:sz w:val="20"/>
                <w:szCs w:val="20"/>
                <w:color w:val="auto"/>
              </w:rPr>
            </w:pPr>
            <w:r>
              <w:rPr>
                <w:rFonts w:ascii="Arial" w:cs="Arial" w:eastAsia="Arial" w:hAnsi="Arial"/>
                <w:sz w:val="18"/>
                <w:szCs w:val="18"/>
                <w:color w:val="auto"/>
              </w:rPr>
              <w:t>SECTION 501.</w:t>
            </w:r>
          </w:p>
        </w:tc>
        <w:tc>
          <w:tcPr>
            <w:tcW w:w="4480" w:type="dxa"/>
            <w:vAlign w:val="bottom"/>
          </w:tcPr>
          <w:p>
            <w:pPr>
              <w:ind w:left="320"/>
              <w:spacing w:after="0"/>
              <w:rPr>
                <w:sz w:val="20"/>
                <w:szCs w:val="20"/>
                <w:color w:val="auto"/>
              </w:rPr>
            </w:pPr>
            <w:r>
              <w:rPr>
                <w:rFonts w:ascii="Arial" w:cs="Arial" w:eastAsia="Arial" w:hAnsi="Arial"/>
                <w:sz w:val="18"/>
                <w:szCs w:val="18"/>
                <w:color w:val="auto"/>
              </w:rPr>
              <w:t>Events of Default</w:t>
            </w:r>
          </w:p>
        </w:tc>
        <w:tc>
          <w:tcPr>
            <w:tcW w:w="396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502.</w:t>
            </w:r>
          </w:p>
        </w:tc>
        <w:tc>
          <w:tcPr>
            <w:tcW w:w="4480" w:type="dxa"/>
            <w:vAlign w:val="bottom"/>
          </w:tcPr>
          <w:p>
            <w:pPr>
              <w:ind w:left="320"/>
              <w:spacing w:after="0"/>
              <w:rPr>
                <w:sz w:val="20"/>
                <w:szCs w:val="20"/>
                <w:color w:val="auto"/>
              </w:rPr>
            </w:pPr>
            <w:r>
              <w:rPr>
                <w:rFonts w:ascii="Arial" w:cs="Arial" w:eastAsia="Arial" w:hAnsi="Arial"/>
                <w:sz w:val="18"/>
                <w:szCs w:val="18"/>
                <w:color w:val="auto"/>
              </w:rPr>
              <w:t>Acceleration of Maturity; Rescission and Annulment</w:t>
            </w:r>
          </w:p>
        </w:tc>
        <w:tc>
          <w:tcPr>
            <w:tcW w:w="39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1840" w:type="dxa"/>
            <w:vAlign w:val="bottom"/>
          </w:tcPr>
          <w:p>
            <w:pPr>
              <w:ind w:left="400"/>
              <w:spacing w:after="0"/>
              <w:rPr>
                <w:sz w:val="20"/>
                <w:szCs w:val="20"/>
                <w:color w:val="auto"/>
              </w:rPr>
            </w:pPr>
            <w:r>
              <w:rPr>
                <w:rFonts w:ascii="Arial" w:cs="Arial" w:eastAsia="Arial" w:hAnsi="Arial"/>
                <w:sz w:val="18"/>
                <w:szCs w:val="18"/>
                <w:color w:val="auto"/>
              </w:rPr>
              <w:t>SECTION 503.</w:t>
            </w:r>
          </w:p>
        </w:tc>
        <w:tc>
          <w:tcPr>
            <w:tcW w:w="8440" w:type="dxa"/>
            <w:vAlign w:val="bottom"/>
            <w:gridSpan w:val="2"/>
          </w:tcPr>
          <w:p>
            <w:pPr>
              <w:ind w:left="320"/>
              <w:spacing w:after="0"/>
              <w:rPr>
                <w:sz w:val="20"/>
                <w:szCs w:val="20"/>
                <w:color w:val="auto"/>
              </w:rPr>
            </w:pPr>
            <w:r>
              <w:rPr>
                <w:rFonts w:ascii="Arial" w:cs="Arial" w:eastAsia="Arial" w:hAnsi="Arial"/>
                <w:sz w:val="18"/>
                <w:szCs w:val="18"/>
                <w:color w:val="auto"/>
              </w:rPr>
              <w:t>Collection of Indebtedness and Suits for Enforcement by Trustee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30"/>
        </w:trPr>
        <w:tc>
          <w:tcPr>
            <w:tcW w:w="1840" w:type="dxa"/>
            <w:vAlign w:val="bottom"/>
          </w:tcPr>
          <w:p>
            <w:pPr>
              <w:ind w:left="400"/>
              <w:spacing w:after="0"/>
              <w:rPr>
                <w:sz w:val="20"/>
                <w:szCs w:val="20"/>
                <w:color w:val="auto"/>
              </w:rPr>
            </w:pPr>
            <w:r>
              <w:rPr>
                <w:rFonts w:ascii="Arial" w:cs="Arial" w:eastAsia="Arial" w:hAnsi="Arial"/>
                <w:sz w:val="18"/>
                <w:szCs w:val="18"/>
                <w:color w:val="auto"/>
              </w:rPr>
              <w:t>SECTION 504.</w:t>
            </w:r>
          </w:p>
        </w:tc>
        <w:tc>
          <w:tcPr>
            <w:tcW w:w="4480" w:type="dxa"/>
            <w:vAlign w:val="bottom"/>
          </w:tcPr>
          <w:p>
            <w:pPr>
              <w:ind w:left="320"/>
              <w:spacing w:after="0"/>
              <w:rPr>
                <w:sz w:val="20"/>
                <w:szCs w:val="20"/>
                <w:color w:val="auto"/>
              </w:rPr>
            </w:pPr>
            <w:r>
              <w:rPr>
                <w:rFonts w:ascii="Arial" w:cs="Arial" w:eastAsia="Arial" w:hAnsi="Arial"/>
                <w:sz w:val="18"/>
                <w:szCs w:val="18"/>
                <w:color w:val="auto"/>
              </w:rPr>
              <w:t>Trustee May File Proofs of Claim</w:t>
            </w:r>
          </w:p>
        </w:tc>
        <w:tc>
          <w:tcPr>
            <w:tcW w:w="39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-8079740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-8079740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364" w:right="199" w:bottom="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505.</w:t>
            </w:r>
          </w:p>
        </w:tc>
        <w:tc>
          <w:tcPr>
            <w:tcW w:w="8720" w:type="dxa"/>
            <w:vAlign w:val="bottom"/>
          </w:tcPr>
          <w:p>
            <w:pPr>
              <w:ind w:left="280"/>
              <w:spacing w:after="0"/>
              <w:rPr>
                <w:sz w:val="20"/>
                <w:szCs w:val="20"/>
                <w:color w:val="auto"/>
              </w:rPr>
            </w:pPr>
            <w:r>
              <w:rPr>
                <w:rFonts w:ascii="Arial" w:cs="Arial" w:eastAsia="Arial" w:hAnsi="Arial"/>
                <w:sz w:val="18"/>
                <w:szCs w:val="18"/>
                <w:color w:val="auto"/>
              </w:rPr>
              <w:t>Trustee May Enforce Claims Without Possession of Securities or Coupons</w:t>
            </w: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506.</w:t>
            </w:r>
          </w:p>
        </w:tc>
        <w:tc>
          <w:tcPr>
            <w:tcW w:w="8720" w:type="dxa"/>
            <w:vAlign w:val="bottom"/>
          </w:tcPr>
          <w:p>
            <w:pPr>
              <w:ind w:left="280"/>
              <w:spacing w:after="0"/>
              <w:rPr>
                <w:sz w:val="20"/>
                <w:szCs w:val="20"/>
                <w:color w:val="auto"/>
              </w:rPr>
            </w:pPr>
            <w:r>
              <w:rPr>
                <w:rFonts w:ascii="Arial" w:cs="Arial" w:eastAsia="Arial" w:hAnsi="Arial"/>
                <w:sz w:val="18"/>
                <w:szCs w:val="18"/>
                <w:color w:val="auto"/>
              </w:rPr>
              <w:t>Application of Money Collected</w:t>
            </w: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507.</w:t>
            </w:r>
          </w:p>
        </w:tc>
        <w:tc>
          <w:tcPr>
            <w:tcW w:w="8720" w:type="dxa"/>
            <w:vAlign w:val="bottom"/>
          </w:tcPr>
          <w:p>
            <w:pPr>
              <w:ind w:left="280"/>
              <w:spacing w:after="0"/>
              <w:rPr>
                <w:sz w:val="20"/>
                <w:szCs w:val="20"/>
                <w:color w:val="auto"/>
              </w:rPr>
            </w:pPr>
            <w:r>
              <w:rPr>
                <w:rFonts w:ascii="Arial" w:cs="Arial" w:eastAsia="Arial" w:hAnsi="Arial"/>
                <w:sz w:val="18"/>
                <w:szCs w:val="18"/>
                <w:color w:val="auto"/>
              </w:rPr>
              <w:t>Limitation on Suits</w:t>
            </w: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508.</w:t>
            </w:r>
          </w:p>
        </w:tc>
        <w:tc>
          <w:tcPr>
            <w:tcW w:w="8720" w:type="dxa"/>
            <w:vAlign w:val="bottom"/>
          </w:tcPr>
          <w:p>
            <w:pPr>
              <w:ind w:left="280"/>
              <w:spacing w:after="0"/>
              <w:rPr>
                <w:sz w:val="20"/>
                <w:szCs w:val="20"/>
                <w:color w:val="auto"/>
              </w:rPr>
            </w:pPr>
            <w:r>
              <w:rPr>
                <w:rFonts w:ascii="Arial" w:cs="Arial" w:eastAsia="Arial" w:hAnsi="Arial"/>
                <w:sz w:val="18"/>
                <w:szCs w:val="18"/>
                <w:color w:val="auto"/>
              </w:rPr>
              <w:t>Unconditional Right of Holders to Receive Principal, Premium or Make-Whole Amount, if any, and 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509.</w:t>
            </w:r>
          </w:p>
        </w:tc>
        <w:tc>
          <w:tcPr>
            <w:tcW w:w="8720" w:type="dxa"/>
            <w:vAlign w:val="bottom"/>
          </w:tcPr>
          <w:p>
            <w:pPr>
              <w:ind w:left="280"/>
              <w:spacing w:after="0"/>
              <w:rPr>
                <w:sz w:val="20"/>
                <w:szCs w:val="20"/>
                <w:color w:val="auto"/>
              </w:rPr>
            </w:pPr>
            <w:r>
              <w:rPr>
                <w:rFonts w:ascii="Arial" w:cs="Arial" w:eastAsia="Arial" w:hAnsi="Arial"/>
                <w:sz w:val="18"/>
                <w:szCs w:val="18"/>
                <w:color w:val="auto"/>
              </w:rPr>
              <w:t>Restoration of Rights and Remedies</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510.</w:t>
            </w:r>
          </w:p>
        </w:tc>
        <w:tc>
          <w:tcPr>
            <w:tcW w:w="8720" w:type="dxa"/>
            <w:vAlign w:val="bottom"/>
          </w:tcPr>
          <w:p>
            <w:pPr>
              <w:ind w:left="280"/>
              <w:spacing w:after="0"/>
              <w:rPr>
                <w:sz w:val="20"/>
                <w:szCs w:val="20"/>
                <w:color w:val="auto"/>
              </w:rPr>
            </w:pPr>
            <w:r>
              <w:rPr>
                <w:rFonts w:ascii="Arial" w:cs="Arial" w:eastAsia="Arial" w:hAnsi="Arial"/>
                <w:sz w:val="18"/>
                <w:szCs w:val="18"/>
                <w:color w:val="auto"/>
              </w:rPr>
              <w:t>Rights and Remedies Cumulative</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511.</w:t>
            </w:r>
          </w:p>
        </w:tc>
        <w:tc>
          <w:tcPr>
            <w:tcW w:w="8720" w:type="dxa"/>
            <w:vAlign w:val="bottom"/>
          </w:tcPr>
          <w:p>
            <w:pPr>
              <w:ind w:left="280"/>
              <w:spacing w:after="0"/>
              <w:rPr>
                <w:sz w:val="20"/>
                <w:szCs w:val="20"/>
                <w:color w:val="auto"/>
              </w:rPr>
            </w:pPr>
            <w:r>
              <w:rPr>
                <w:rFonts w:ascii="Arial" w:cs="Arial" w:eastAsia="Arial" w:hAnsi="Arial"/>
                <w:sz w:val="18"/>
                <w:szCs w:val="18"/>
                <w:color w:val="auto"/>
              </w:rPr>
              <w:t>Delay or Omission Not Waiver</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512.</w:t>
            </w:r>
          </w:p>
        </w:tc>
        <w:tc>
          <w:tcPr>
            <w:tcW w:w="8720" w:type="dxa"/>
            <w:vAlign w:val="bottom"/>
          </w:tcPr>
          <w:p>
            <w:pPr>
              <w:ind w:left="280"/>
              <w:spacing w:after="0"/>
              <w:rPr>
                <w:sz w:val="20"/>
                <w:szCs w:val="20"/>
                <w:color w:val="auto"/>
              </w:rPr>
            </w:pPr>
            <w:r>
              <w:rPr>
                <w:rFonts w:ascii="Arial" w:cs="Arial" w:eastAsia="Arial" w:hAnsi="Arial"/>
                <w:sz w:val="18"/>
                <w:szCs w:val="18"/>
                <w:color w:val="auto"/>
              </w:rPr>
              <w:t>Control by Holders of 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513.</w:t>
            </w:r>
          </w:p>
        </w:tc>
        <w:tc>
          <w:tcPr>
            <w:tcW w:w="8720" w:type="dxa"/>
            <w:vAlign w:val="bottom"/>
          </w:tcPr>
          <w:p>
            <w:pPr>
              <w:ind w:left="280"/>
              <w:spacing w:after="0"/>
              <w:rPr>
                <w:sz w:val="20"/>
                <w:szCs w:val="20"/>
                <w:color w:val="auto"/>
              </w:rPr>
            </w:pPr>
            <w:r>
              <w:rPr>
                <w:rFonts w:ascii="Arial" w:cs="Arial" w:eastAsia="Arial" w:hAnsi="Arial"/>
                <w:sz w:val="18"/>
                <w:szCs w:val="18"/>
                <w:color w:val="auto"/>
              </w:rPr>
              <w:t>Waiver of Past Defaults</w:t>
            </w: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514.</w:t>
            </w:r>
          </w:p>
        </w:tc>
        <w:tc>
          <w:tcPr>
            <w:tcW w:w="8720" w:type="dxa"/>
            <w:vAlign w:val="bottom"/>
          </w:tcPr>
          <w:p>
            <w:pPr>
              <w:ind w:left="280"/>
              <w:spacing w:after="0"/>
              <w:rPr>
                <w:sz w:val="20"/>
                <w:szCs w:val="20"/>
                <w:color w:val="auto"/>
              </w:rPr>
            </w:pPr>
            <w:r>
              <w:rPr>
                <w:rFonts w:ascii="Arial" w:cs="Arial" w:eastAsia="Arial" w:hAnsi="Arial"/>
                <w:sz w:val="18"/>
                <w:szCs w:val="18"/>
                <w:color w:val="auto"/>
              </w:rPr>
              <w:t>Waiver of Usury, Stay or Extension Laws</w:t>
            </w: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515.</w:t>
            </w:r>
          </w:p>
        </w:tc>
        <w:tc>
          <w:tcPr>
            <w:tcW w:w="8720" w:type="dxa"/>
            <w:vAlign w:val="bottom"/>
          </w:tcPr>
          <w:p>
            <w:pPr>
              <w:ind w:left="280"/>
              <w:spacing w:after="0"/>
              <w:rPr>
                <w:sz w:val="20"/>
                <w:szCs w:val="20"/>
                <w:color w:val="auto"/>
              </w:rPr>
            </w:pPr>
            <w:r>
              <w:rPr>
                <w:rFonts w:ascii="Arial" w:cs="Arial" w:eastAsia="Arial" w:hAnsi="Arial"/>
                <w:sz w:val="18"/>
                <w:szCs w:val="18"/>
                <w:color w:val="auto"/>
              </w:rPr>
              <w:t>Undertaking for Costs</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0600" w:type="dxa"/>
            <w:vAlign w:val="bottom"/>
            <w:gridSpan w:val="2"/>
          </w:tcPr>
          <w:p>
            <w:pPr>
              <w:spacing w:after="0"/>
              <w:rPr>
                <w:sz w:val="20"/>
                <w:szCs w:val="20"/>
                <w:color w:val="auto"/>
              </w:rPr>
            </w:pPr>
            <w:r>
              <w:rPr>
                <w:rFonts w:ascii="Arial" w:cs="Arial" w:eastAsia="Arial" w:hAnsi="Arial"/>
                <w:sz w:val="18"/>
                <w:szCs w:val="18"/>
                <w:color w:val="auto"/>
              </w:rPr>
              <w:t>ARTICLE SIX - THE TRUSTEE</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1880" w:type="dxa"/>
            <w:vAlign w:val="bottom"/>
          </w:tcPr>
          <w:p>
            <w:pPr>
              <w:ind w:left="400"/>
              <w:spacing w:after="0"/>
              <w:rPr>
                <w:sz w:val="20"/>
                <w:szCs w:val="20"/>
                <w:color w:val="auto"/>
              </w:rPr>
            </w:pPr>
            <w:r>
              <w:rPr>
                <w:rFonts w:ascii="Arial" w:cs="Arial" w:eastAsia="Arial" w:hAnsi="Arial"/>
                <w:sz w:val="18"/>
                <w:szCs w:val="18"/>
                <w:color w:val="auto"/>
              </w:rPr>
              <w:t>SECTION 601.</w:t>
            </w:r>
          </w:p>
        </w:tc>
        <w:tc>
          <w:tcPr>
            <w:tcW w:w="8720" w:type="dxa"/>
            <w:vAlign w:val="bottom"/>
          </w:tcPr>
          <w:p>
            <w:pPr>
              <w:ind w:left="280"/>
              <w:spacing w:after="0"/>
              <w:rPr>
                <w:sz w:val="20"/>
                <w:szCs w:val="20"/>
                <w:color w:val="auto"/>
              </w:rPr>
            </w:pPr>
            <w:r>
              <w:rPr>
                <w:rFonts w:ascii="Arial" w:cs="Arial" w:eastAsia="Arial" w:hAnsi="Arial"/>
                <w:sz w:val="18"/>
                <w:szCs w:val="18"/>
                <w:color w:val="auto"/>
              </w:rPr>
              <w:t>Notice of Defaults</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602.</w:t>
            </w:r>
          </w:p>
        </w:tc>
        <w:tc>
          <w:tcPr>
            <w:tcW w:w="8720" w:type="dxa"/>
            <w:vAlign w:val="bottom"/>
          </w:tcPr>
          <w:p>
            <w:pPr>
              <w:ind w:left="280"/>
              <w:spacing w:after="0"/>
              <w:rPr>
                <w:sz w:val="20"/>
                <w:szCs w:val="20"/>
                <w:color w:val="auto"/>
              </w:rPr>
            </w:pPr>
            <w:r>
              <w:rPr>
                <w:rFonts w:ascii="Arial" w:cs="Arial" w:eastAsia="Arial" w:hAnsi="Arial"/>
                <w:sz w:val="18"/>
                <w:szCs w:val="18"/>
                <w:color w:val="auto"/>
              </w:rPr>
              <w:t>Certain Rights of Trustee</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603.</w:t>
            </w:r>
          </w:p>
        </w:tc>
        <w:tc>
          <w:tcPr>
            <w:tcW w:w="8720" w:type="dxa"/>
            <w:vAlign w:val="bottom"/>
          </w:tcPr>
          <w:p>
            <w:pPr>
              <w:ind w:left="280"/>
              <w:spacing w:after="0"/>
              <w:rPr>
                <w:sz w:val="20"/>
                <w:szCs w:val="20"/>
                <w:color w:val="auto"/>
              </w:rPr>
            </w:pPr>
            <w:r>
              <w:rPr>
                <w:rFonts w:ascii="Arial" w:cs="Arial" w:eastAsia="Arial" w:hAnsi="Arial"/>
                <w:sz w:val="18"/>
                <w:szCs w:val="18"/>
                <w:color w:val="auto"/>
              </w:rPr>
              <w:t>Not Responsible for Recitals or Issuance of 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604.</w:t>
            </w:r>
          </w:p>
        </w:tc>
        <w:tc>
          <w:tcPr>
            <w:tcW w:w="8720" w:type="dxa"/>
            <w:vAlign w:val="bottom"/>
          </w:tcPr>
          <w:p>
            <w:pPr>
              <w:ind w:left="280"/>
              <w:spacing w:after="0"/>
              <w:rPr>
                <w:sz w:val="20"/>
                <w:szCs w:val="20"/>
                <w:color w:val="auto"/>
              </w:rPr>
            </w:pPr>
            <w:r>
              <w:rPr>
                <w:rFonts w:ascii="Arial" w:cs="Arial" w:eastAsia="Arial" w:hAnsi="Arial"/>
                <w:sz w:val="18"/>
                <w:szCs w:val="18"/>
                <w:color w:val="auto"/>
              </w:rPr>
              <w:t>May Hold 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605.</w:t>
            </w:r>
          </w:p>
        </w:tc>
        <w:tc>
          <w:tcPr>
            <w:tcW w:w="8720" w:type="dxa"/>
            <w:vAlign w:val="bottom"/>
          </w:tcPr>
          <w:p>
            <w:pPr>
              <w:ind w:left="280"/>
              <w:spacing w:after="0"/>
              <w:rPr>
                <w:sz w:val="20"/>
                <w:szCs w:val="20"/>
                <w:color w:val="auto"/>
              </w:rPr>
            </w:pPr>
            <w:r>
              <w:rPr>
                <w:rFonts w:ascii="Arial" w:cs="Arial" w:eastAsia="Arial" w:hAnsi="Arial"/>
                <w:sz w:val="18"/>
                <w:szCs w:val="18"/>
                <w:color w:val="auto"/>
              </w:rPr>
              <w:t>Money Held in Trust</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606.</w:t>
            </w:r>
          </w:p>
        </w:tc>
        <w:tc>
          <w:tcPr>
            <w:tcW w:w="8720" w:type="dxa"/>
            <w:vAlign w:val="bottom"/>
          </w:tcPr>
          <w:p>
            <w:pPr>
              <w:ind w:left="280"/>
              <w:spacing w:after="0"/>
              <w:rPr>
                <w:sz w:val="20"/>
                <w:szCs w:val="20"/>
                <w:color w:val="auto"/>
              </w:rPr>
            </w:pPr>
            <w:r>
              <w:rPr>
                <w:rFonts w:ascii="Arial" w:cs="Arial" w:eastAsia="Arial" w:hAnsi="Arial"/>
                <w:sz w:val="18"/>
                <w:szCs w:val="18"/>
                <w:color w:val="auto"/>
              </w:rPr>
              <w:t>Compensation and Reimbursement</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607.</w:t>
            </w:r>
          </w:p>
        </w:tc>
        <w:tc>
          <w:tcPr>
            <w:tcW w:w="8720" w:type="dxa"/>
            <w:vAlign w:val="bottom"/>
          </w:tcPr>
          <w:p>
            <w:pPr>
              <w:ind w:left="280"/>
              <w:spacing w:after="0"/>
              <w:rPr>
                <w:sz w:val="20"/>
                <w:szCs w:val="20"/>
                <w:color w:val="auto"/>
              </w:rPr>
            </w:pPr>
            <w:r>
              <w:rPr>
                <w:rFonts w:ascii="Arial" w:cs="Arial" w:eastAsia="Arial" w:hAnsi="Arial"/>
                <w:sz w:val="18"/>
                <w:szCs w:val="18"/>
                <w:color w:val="auto"/>
              </w:rPr>
              <w:t>Corporate Trustee Required; Eligibility; Conflicting Interests</w:t>
            </w: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608.</w:t>
            </w:r>
          </w:p>
        </w:tc>
        <w:tc>
          <w:tcPr>
            <w:tcW w:w="8720" w:type="dxa"/>
            <w:vAlign w:val="bottom"/>
          </w:tcPr>
          <w:p>
            <w:pPr>
              <w:ind w:left="280"/>
              <w:spacing w:after="0"/>
              <w:rPr>
                <w:sz w:val="20"/>
                <w:szCs w:val="20"/>
                <w:color w:val="auto"/>
              </w:rPr>
            </w:pPr>
            <w:r>
              <w:rPr>
                <w:rFonts w:ascii="Arial" w:cs="Arial" w:eastAsia="Arial" w:hAnsi="Arial"/>
                <w:sz w:val="18"/>
                <w:szCs w:val="18"/>
                <w:color w:val="auto"/>
              </w:rPr>
              <w:t>Resignation and Removal; Appointment of Successor</w:t>
            </w: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609.</w:t>
            </w:r>
          </w:p>
        </w:tc>
        <w:tc>
          <w:tcPr>
            <w:tcW w:w="8720" w:type="dxa"/>
            <w:vAlign w:val="bottom"/>
          </w:tcPr>
          <w:p>
            <w:pPr>
              <w:ind w:left="280"/>
              <w:spacing w:after="0"/>
              <w:rPr>
                <w:sz w:val="20"/>
                <w:szCs w:val="20"/>
                <w:color w:val="auto"/>
              </w:rPr>
            </w:pPr>
            <w:r>
              <w:rPr>
                <w:rFonts w:ascii="Arial" w:cs="Arial" w:eastAsia="Arial" w:hAnsi="Arial"/>
                <w:sz w:val="18"/>
                <w:szCs w:val="18"/>
                <w:color w:val="auto"/>
              </w:rPr>
              <w:t>Acceptance of Appointment by Successor</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610.</w:t>
            </w:r>
          </w:p>
        </w:tc>
        <w:tc>
          <w:tcPr>
            <w:tcW w:w="8720" w:type="dxa"/>
            <w:vAlign w:val="bottom"/>
          </w:tcPr>
          <w:p>
            <w:pPr>
              <w:ind w:left="280"/>
              <w:spacing w:after="0"/>
              <w:rPr>
                <w:sz w:val="20"/>
                <w:szCs w:val="20"/>
                <w:color w:val="auto"/>
              </w:rPr>
            </w:pPr>
            <w:r>
              <w:rPr>
                <w:rFonts w:ascii="Arial" w:cs="Arial" w:eastAsia="Arial" w:hAnsi="Arial"/>
                <w:sz w:val="18"/>
                <w:szCs w:val="18"/>
                <w:color w:val="auto"/>
              </w:rPr>
              <w:t>Merger, Conversion, Consolidation or Succession to Business</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611.</w:t>
            </w:r>
          </w:p>
        </w:tc>
        <w:tc>
          <w:tcPr>
            <w:tcW w:w="8720" w:type="dxa"/>
            <w:vAlign w:val="bottom"/>
          </w:tcPr>
          <w:p>
            <w:pPr>
              <w:ind w:left="280"/>
              <w:spacing w:after="0"/>
              <w:rPr>
                <w:sz w:val="20"/>
                <w:szCs w:val="20"/>
                <w:color w:val="auto"/>
              </w:rPr>
            </w:pPr>
            <w:r>
              <w:rPr>
                <w:rFonts w:ascii="Arial" w:cs="Arial" w:eastAsia="Arial" w:hAnsi="Arial"/>
                <w:sz w:val="18"/>
                <w:szCs w:val="18"/>
                <w:color w:val="auto"/>
              </w:rPr>
              <w:t>Appointment of Authenticating Agent</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612.</w:t>
            </w:r>
          </w:p>
        </w:tc>
        <w:tc>
          <w:tcPr>
            <w:tcW w:w="8720" w:type="dxa"/>
            <w:vAlign w:val="bottom"/>
          </w:tcPr>
          <w:p>
            <w:pPr>
              <w:ind w:left="280"/>
              <w:spacing w:after="0"/>
              <w:rPr>
                <w:sz w:val="20"/>
                <w:szCs w:val="20"/>
                <w:color w:val="auto"/>
              </w:rPr>
            </w:pPr>
            <w:r>
              <w:rPr>
                <w:rFonts w:ascii="Arial" w:cs="Arial" w:eastAsia="Arial" w:hAnsi="Arial"/>
                <w:sz w:val="18"/>
                <w:szCs w:val="18"/>
                <w:color w:val="auto"/>
              </w:rPr>
              <w:t>Certain Duties and Responsibilities of the Trustee</w:t>
            </w: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0600" w:type="dxa"/>
            <w:vAlign w:val="bottom"/>
            <w:gridSpan w:val="2"/>
          </w:tcPr>
          <w:p>
            <w:pPr>
              <w:spacing w:after="0"/>
              <w:rPr>
                <w:sz w:val="20"/>
                <w:szCs w:val="20"/>
                <w:color w:val="auto"/>
              </w:rPr>
            </w:pPr>
            <w:r>
              <w:rPr>
                <w:rFonts w:ascii="Arial" w:cs="Arial" w:eastAsia="Arial" w:hAnsi="Arial"/>
                <w:sz w:val="18"/>
                <w:szCs w:val="18"/>
                <w:color w:val="auto"/>
              </w:rPr>
              <w:t>ARTICLE SEVEN - HOLDERS’ LISTS AND REPORTS BY TRUSTEE AND COMPANY</w:t>
            </w: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8"/>
        </w:trPr>
        <w:tc>
          <w:tcPr>
            <w:tcW w:w="1880" w:type="dxa"/>
            <w:vAlign w:val="bottom"/>
          </w:tcPr>
          <w:p>
            <w:pPr>
              <w:ind w:left="400"/>
              <w:spacing w:after="0"/>
              <w:rPr>
                <w:sz w:val="20"/>
                <w:szCs w:val="20"/>
                <w:color w:val="auto"/>
              </w:rPr>
            </w:pPr>
            <w:r>
              <w:rPr>
                <w:rFonts w:ascii="Arial" w:cs="Arial" w:eastAsia="Arial" w:hAnsi="Arial"/>
                <w:sz w:val="18"/>
                <w:szCs w:val="18"/>
                <w:color w:val="auto"/>
              </w:rPr>
              <w:t>SECTION 701.</w:t>
            </w:r>
          </w:p>
        </w:tc>
        <w:tc>
          <w:tcPr>
            <w:tcW w:w="8720" w:type="dxa"/>
            <w:vAlign w:val="bottom"/>
          </w:tcPr>
          <w:p>
            <w:pPr>
              <w:ind w:left="280"/>
              <w:spacing w:after="0"/>
              <w:rPr>
                <w:sz w:val="20"/>
                <w:szCs w:val="20"/>
                <w:color w:val="auto"/>
              </w:rPr>
            </w:pPr>
            <w:r>
              <w:rPr>
                <w:rFonts w:ascii="Arial" w:cs="Arial" w:eastAsia="Arial" w:hAnsi="Arial"/>
                <w:sz w:val="18"/>
                <w:szCs w:val="18"/>
                <w:color w:val="auto"/>
              </w:rPr>
              <w:t>Disclosure of Names and Addresses of 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702.</w:t>
            </w:r>
          </w:p>
        </w:tc>
        <w:tc>
          <w:tcPr>
            <w:tcW w:w="8720" w:type="dxa"/>
            <w:vAlign w:val="bottom"/>
          </w:tcPr>
          <w:p>
            <w:pPr>
              <w:ind w:left="280"/>
              <w:spacing w:after="0"/>
              <w:rPr>
                <w:sz w:val="20"/>
                <w:szCs w:val="20"/>
                <w:color w:val="auto"/>
              </w:rPr>
            </w:pPr>
            <w:r>
              <w:rPr>
                <w:rFonts w:ascii="Arial" w:cs="Arial" w:eastAsia="Arial" w:hAnsi="Arial"/>
                <w:sz w:val="18"/>
                <w:szCs w:val="18"/>
                <w:color w:val="auto"/>
              </w:rPr>
              <w:t>Reports by Trustee</w:t>
            </w: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703.</w:t>
            </w:r>
          </w:p>
        </w:tc>
        <w:tc>
          <w:tcPr>
            <w:tcW w:w="8720" w:type="dxa"/>
            <w:vAlign w:val="bottom"/>
          </w:tcPr>
          <w:p>
            <w:pPr>
              <w:ind w:left="280"/>
              <w:spacing w:after="0"/>
              <w:rPr>
                <w:sz w:val="20"/>
                <w:szCs w:val="20"/>
                <w:color w:val="auto"/>
              </w:rPr>
            </w:pPr>
            <w:r>
              <w:rPr>
                <w:rFonts w:ascii="Arial" w:cs="Arial" w:eastAsia="Arial" w:hAnsi="Arial"/>
                <w:sz w:val="18"/>
                <w:szCs w:val="18"/>
                <w:color w:val="auto"/>
              </w:rPr>
              <w:t>Reports by Company</w:t>
            </w: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704.</w:t>
            </w:r>
          </w:p>
        </w:tc>
        <w:tc>
          <w:tcPr>
            <w:tcW w:w="8720" w:type="dxa"/>
            <w:vAlign w:val="bottom"/>
          </w:tcPr>
          <w:p>
            <w:pPr>
              <w:ind w:left="280"/>
              <w:spacing w:after="0"/>
              <w:rPr>
                <w:sz w:val="20"/>
                <w:szCs w:val="20"/>
                <w:color w:val="auto"/>
              </w:rPr>
            </w:pPr>
            <w:r>
              <w:rPr>
                <w:rFonts w:ascii="Arial" w:cs="Arial" w:eastAsia="Arial" w:hAnsi="Arial"/>
                <w:sz w:val="18"/>
                <w:szCs w:val="18"/>
                <w:color w:val="auto"/>
              </w:rPr>
              <w:t>Company to Furnish Trustee Names and Addresses of 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880" w:type="dxa"/>
            <w:vAlign w:val="bottom"/>
          </w:tcPr>
          <w:p>
            <w:pPr>
              <w:spacing w:after="0"/>
              <w:rPr>
                <w:sz w:val="24"/>
                <w:szCs w:val="24"/>
                <w:color w:val="auto"/>
              </w:rPr>
            </w:pPr>
          </w:p>
        </w:tc>
        <w:tc>
          <w:tcPr>
            <w:tcW w:w="8720" w:type="dxa"/>
            <w:vAlign w:val="bottom"/>
          </w:tcPr>
          <w:p>
            <w:pPr>
              <w:ind w:left="3780"/>
              <w:spacing w:after="0"/>
              <w:rPr>
                <w:sz w:val="20"/>
                <w:szCs w:val="20"/>
                <w:color w:val="auto"/>
              </w:rPr>
            </w:pPr>
            <w:r>
              <w:rPr>
                <w:rFonts w:ascii="Arial" w:cs="Arial" w:eastAsia="Arial" w:hAnsi="Arial"/>
                <w:sz w:val="18"/>
                <w:szCs w:val="18"/>
                <w:color w:val="auto"/>
              </w:rPr>
              <w:t>ii</w:t>
            </w:r>
          </w:p>
        </w:tc>
        <w:tc>
          <w:tcPr>
            <w:tcW w:w="860" w:type="dxa"/>
            <w:vAlign w:val="bottom"/>
          </w:tcPr>
          <w:p>
            <w:pPr>
              <w:spacing w:after="0"/>
              <w:rPr>
                <w:sz w:val="24"/>
                <w:szCs w:val="24"/>
                <w:color w:val="auto"/>
              </w:rPr>
            </w:pPr>
          </w:p>
        </w:tc>
      </w:tr>
      <w:tr>
        <w:trPr>
          <w:trHeight w:val="132"/>
        </w:trPr>
        <w:tc>
          <w:tcPr>
            <w:tcW w:w="10600" w:type="dxa"/>
            <w:vAlign w:val="bottom"/>
            <w:tcBorders>
              <w:bottom w:val="single" w:sz="8" w:color="808080"/>
            </w:tcBorders>
            <w:gridSpan w:val="2"/>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r>
      <w:tr>
        <w:trPr>
          <w:trHeight w:val="780"/>
        </w:trPr>
        <w:tc>
          <w:tcPr>
            <w:tcW w:w="10600" w:type="dxa"/>
            <w:vAlign w:val="bottom"/>
            <w:gridSpan w:val="2"/>
          </w:tcPr>
          <w:p>
            <w:pPr>
              <w:spacing w:after="0"/>
              <w:rPr>
                <w:sz w:val="20"/>
                <w:szCs w:val="20"/>
                <w:color w:val="auto"/>
              </w:rPr>
            </w:pPr>
            <w:r>
              <w:rPr>
                <w:rFonts w:ascii="Arial" w:cs="Arial" w:eastAsia="Arial" w:hAnsi="Arial"/>
                <w:sz w:val="18"/>
                <w:szCs w:val="18"/>
                <w:color w:val="auto"/>
              </w:rPr>
              <w:t>ARTICLE EIGHT - CONSOLIDATION, MERGER, SALE, LEASE OR CONVEYANCE</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1880" w:type="dxa"/>
            <w:vAlign w:val="bottom"/>
          </w:tcPr>
          <w:p>
            <w:pPr>
              <w:ind w:left="400"/>
              <w:spacing w:after="0"/>
              <w:rPr>
                <w:sz w:val="20"/>
                <w:szCs w:val="20"/>
                <w:color w:val="auto"/>
              </w:rPr>
            </w:pPr>
            <w:r>
              <w:rPr>
                <w:rFonts w:ascii="Arial" w:cs="Arial" w:eastAsia="Arial" w:hAnsi="Arial"/>
                <w:sz w:val="18"/>
                <w:szCs w:val="18"/>
                <w:color w:val="auto"/>
              </w:rPr>
              <w:t>SECTION 801.</w:t>
            </w:r>
          </w:p>
        </w:tc>
        <w:tc>
          <w:tcPr>
            <w:tcW w:w="8720" w:type="dxa"/>
            <w:vAlign w:val="bottom"/>
          </w:tcPr>
          <w:p>
            <w:pPr>
              <w:ind w:left="280"/>
              <w:spacing w:after="0"/>
              <w:rPr>
                <w:sz w:val="20"/>
                <w:szCs w:val="20"/>
                <w:color w:val="auto"/>
              </w:rPr>
            </w:pPr>
            <w:r>
              <w:rPr>
                <w:rFonts w:ascii="Arial" w:cs="Arial" w:eastAsia="Arial" w:hAnsi="Arial"/>
                <w:sz w:val="18"/>
                <w:szCs w:val="18"/>
                <w:color w:val="auto"/>
                <w:w w:val="98"/>
              </w:rPr>
              <w:t>Consolidations and Mergers of Company and Sales, Leases and Conveyances Permitted Subject to Certain</w:t>
            </w:r>
          </w:p>
        </w:tc>
        <w:tc>
          <w:tcPr>
            <w:tcW w:w="860" w:type="dxa"/>
            <w:vAlign w:val="bottom"/>
          </w:tcPr>
          <w:p>
            <w:pPr>
              <w:spacing w:after="0"/>
              <w:rPr>
                <w:sz w:val="24"/>
                <w:szCs w:val="24"/>
                <w:color w:val="auto"/>
              </w:rPr>
            </w:pPr>
          </w:p>
        </w:tc>
      </w:tr>
      <w:tr>
        <w:trPr>
          <w:trHeight w:val="216"/>
        </w:trPr>
        <w:tc>
          <w:tcPr>
            <w:tcW w:w="1880" w:type="dxa"/>
            <w:vAlign w:val="bottom"/>
          </w:tcPr>
          <w:p>
            <w:pPr>
              <w:spacing w:after="0"/>
              <w:rPr>
                <w:sz w:val="18"/>
                <w:szCs w:val="18"/>
                <w:color w:val="auto"/>
              </w:rPr>
            </w:pPr>
          </w:p>
        </w:tc>
        <w:tc>
          <w:tcPr>
            <w:tcW w:w="8720" w:type="dxa"/>
            <w:vAlign w:val="bottom"/>
          </w:tcPr>
          <w:p>
            <w:pPr>
              <w:ind w:left="460"/>
              <w:spacing w:after="0"/>
              <w:rPr>
                <w:sz w:val="20"/>
                <w:szCs w:val="20"/>
                <w:color w:val="auto"/>
              </w:rPr>
            </w:pPr>
            <w:r>
              <w:rPr>
                <w:rFonts w:ascii="Arial" w:cs="Arial" w:eastAsia="Arial" w:hAnsi="Arial"/>
                <w:sz w:val="18"/>
                <w:szCs w:val="18"/>
                <w:color w:val="auto"/>
              </w:rPr>
              <w:t>Conditions</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802.</w:t>
            </w:r>
          </w:p>
        </w:tc>
        <w:tc>
          <w:tcPr>
            <w:tcW w:w="8720" w:type="dxa"/>
            <w:vAlign w:val="bottom"/>
          </w:tcPr>
          <w:p>
            <w:pPr>
              <w:ind w:left="280"/>
              <w:spacing w:after="0"/>
              <w:rPr>
                <w:sz w:val="20"/>
                <w:szCs w:val="20"/>
                <w:color w:val="auto"/>
              </w:rPr>
            </w:pPr>
            <w:r>
              <w:rPr>
                <w:rFonts w:ascii="Arial" w:cs="Arial" w:eastAsia="Arial" w:hAnsi="Arial"/>
                <w:sz w:val="18"/>
                <w:szCs w:val="18"/>
                <w:color w:val="auto"/>
              </w:rPr>
              <w:t>Rights and Duties of Successor Corporation</w:t>
            </w: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803.</w:t>
            </w:r>
          </w:p>
        </w:tc>
        <w:tc>
          <w:tcPr>
            <w:tcW w:w="8720" w:type="dxa"/>
            <w:vAlign w:val="bottom"/>
          </w:tcPr>
          <w:p>
            <w:pPr>
              <w:ind w:left="280"/>
              <w:spacing w:after="0"/>
              <w:rPr>
                <w:sz w:val="20"/>
                <w:szCs w:val="20"/>
                <w:color w:val="auto"/>
              </w:rPr>
            </w:pPr>
            <w:r>
              <w:rPr>
                <w:rFonts w:ascii="Arial" w:cs="Arial" w:eastAsia="Arial" w:hAnsi="Arial"/>
                <w:sz w:val="18"/>
                <w:szCs w:val="18"/>
                <w:color w:val="auto"/>
              </w:rPr>
              <w:t>Officers’ Certificate and Opinion of Counsel</w:t>
            </w: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0600" w:type="dxa"/>
            <w:vAlign w:val="bottom"/>
            <w:gridSpan w:val="2"/>
          </w:tcPr>
          <w:p>
            <w:pPr>
              <w:spacing w:after="0"/>
              <w:rPr>
                <w:sz w:val="20"/>
                <w:szCs w:val="20"/>
                <w:color w:val="auto"/>
              </w:rPr>
            </w:pPr>
            <w:r>
              <w:rPr>
                <w:rFonts w:ascii="Arial" w:cs="Arial" w:eastAsia="Arial" w:hAnsi="Arial"/>
                <w:sz w:val="18"/>
                <w:szCs w:val="18"/>
                <w:color w:val="auto"/>
              </w:rPr>
              <w:t>ARTICLE NINE - SUPPLEMENTAL INDENTURES</w:t>
            </w: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1880" w:type="dxa"/>
            <w:vAlign w:val="bottom"/>
          </w:tcPr>
          <w:p>
            <w:pPr>
              <w:ind w:left="400"/>
              <w:spacing w:after="0"/>
              <w:rPr>
                <w:sz w:val="20"/>
                <w:szCs w:val="20"/>
                <w:color w:val="auto"/>
              </w:rPr>
            </w:pPr>
            <w:r>
              <w:rPr>
                <w:rFonts w:ascii="Arial" w:cs="Arial" w:eastAsia="Arial" w:hAnsi="Arial"/>
                <w:sz w:val="18"/>
                <w:szCs w:val="18"/>
                <w:color w:val="auto"/>
              </w:rPr>
              <w:t>SECTION 901.</w:t>
            </w:r>
          </w:p>
        </w:tc>
        <w:tc>
          <w:tcPr>
            <w:tcW w:w="8720" w:type="dxa"/>
            <w:vAlign w:val="bottom"/>
          </w:tcPr>
          <w:p>
            <w:pPr>
              <w:ind w:left="280"/>
              <w:spacing w:after="0"/>
              <w:rPr>
                <w:sz w:val="20"/>
                <w:szCs w:val="20"/>
                <w:color w:val="auto"/>
              </w:rPr>
            </w:pPr>
            <w:r>
              <w:rPr>
                <w:rFonts w:ascii="Arial" w:cs="Arial" w:eastAsia="Arial" w:hAnsi="Arial"/>
                <w:sz w:val="18"/>
                <w:szCs w:val="18"/>
                <w:color w:val="auto"/>
              </w:rPr>
              <w:t>Supplemental Indentures Without Consent of 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902.</w:t>
            </w:r>
          </w:p>
        </w:tc>
        <w:tc>
          <w:tcPr>
            <w:tcW w:w="8720" w:type="dxa"/>
            <w:vAlign w:val="bottom"/>
          </w:tcPr>
          <w:p>
            <w:pPr>
              <w:ind w:left="280"/>
              <w:spacing w:after="0"/>
              <w:rPr>
                <w:sz w:val="20"/>
                <w:szCs w:val="20"/>
                <w:color w:val="auto"/>
              </w:rPr>
            </w:pPr>
            <w:r>
              <w:rPr>
                <w:rFonts w:ascii="Arial" w:cs="Arial" w:eastAsia="Arial" w:hAnsi="Arial"/>
                <w:sz w:val="18"/>
                <w:szCs w:val="18"/>
                <w:color w:val="auto"/>
              </w:rPr>
              <w:t>Supplemental Indentures with Consent of 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903.</w:t>
            </w:r>
          </w:p>
        </w:tc>
        <w:tc>
          <w:tcPr>
            <w:tcW w:w="8720" w:type="dxa"/>
            <w:vAlign w:val="bottom"/>
          </w:tcPr>
          <w:p>
            <w:pPr>
              <w:ind w:left="280"/>
              <w:spacing w:after="0"/>
              <w:rPr>
                <w:sz w:val="20"/>
                <w:szCs w:val="20"/>
                <w:color w:val="auto"/>
              </w:rPr>
            </w:pPr>
            <w:r>
              <w:rPr>
                <w:rFonts w:ascii="Arial" w:cs="Arial" w:eastAsia="Arial" w:hAnsi="Arial"/>
                <w:sz w:val="18"/>
                <w:szCs w:val="18"/>
                <w:color w:val="auto"/>
              </w:rPr>
              <w:t>Execution of Supplemental Indentures</w:t>
            </w: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904.</w:t>
            </w:r>
          </w:p>
        </w:tc>
        <w:tc>
          <w:tcPr>
            <w:tcW w:w="8720" w:type="dxa"/>
            <w:vAlign w:val="bottom"/>
          </w:tcPr>
          <w:p>
            <w:pPr>
              <w:ind w:left="280"/>
              <w:spacing w:after="0"/>
              <w:rPr>
                <w:sz w:val="20"/>
                <w:szCs w:val="20"/>
                <w:color w:val="auto"/>
              </w:rPr>
            </w:pPr>
            <w:r>
              <w:rPr>
                <w:rFonts w:ascii="Arial" w:cs="Arial" w:eastAsia="Arial" w:hAnsi="Arial"/>
                <w:sz w:val="18"/>
                <w:szCs w:val="18"/>
                <w:color w:val="auto"/>
              </w:rPr>
              <w:t>Effect of Supplemental Indentures</w:t>
            </w: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905.</w:t>
            </w:r>
          </w:p>
        </w:tc>
        <w:tc>
          <w:tcPr>
            <w:tcW w:w="8720" w:type="dxa"/>
            <w:vAlign w:val="bottom"/>
          </w:tcPr>
          <w:p>
            <w:pPr>
              <w:ind w:left="280"/>
              <w:spacing w:after="0"/>
              <w:rPr>
                <w:sz w:val="20"/>
                <w:szCs w:val="20"/>
                <w:color w:val="auto"/>
              </w:rPr>
            </w:pPr>
            <w:r>
              <w:rPr>
                <w:rFonts w:ascii="Arial" w:cs="Arial" w:eastAsia="Arial" w:hAnsi="Arial"/>
                <w:sz w:val="18"/>
                <w:szCs w:val="18"/>
                <w:color w:val="auto"/>
              </w:rPr>
              <w:t>Conformity with Trust Indenture Act</w:t>
            </w: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906.</w:t>
            </w:r>
          </w:p>
        </w:tc>
        <w:tc>
          <w:tcPr>
            <w:tcW w:w="8720" w:type="dxa"/>
            <w:vAlign w:val="bottom"/>
          </w:tcPr>
          <w:p>
            <w:pPr>
              <w:ind w:left="280"/>
              <w:spacing w:after="0"/>
              <w:rPr>
                <w:sz w:val="20"/>
                <w:szCs w:val="20"/>
                <w:color w:val="auto"/>
              </w:rPr>
            </w:pPr>
            <w:r>
              <w:rPr>
                <w:rFonts w:ascii="Arial" w:cs="Arial" w:eastAsia="Arial" w:hAnsi="Arial"/>
                <w:sz w:val="18"/>
                <w:szCs w:val="18"/>
                <w:color w:val="auto"/>
              </w:rPr>
              <w:t>Reference in Securities to Supplemental Indentures</w:t>
            </w: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0600" w:type="dxa"/>
            <w:vAlign w:val="bottom"/>
            <w:gridSpan w:val="2"/>
          </w:tcPr>
          <w:p>
            <w:pPr>
              <w:spacing w:after="0"/>
              <w:rPr>
                <w:sz w:val="20"/>
                <w:szCs w:val="20"/>
                <w:color w:val="auto"/>
              </w:rPr>
            </w:pPr>
            <w:r>
              <w:rPr>
                <w:rFonts w:ascii="Arial" w:cs="Arial" w:eastAsia="Arial" w:hAnsi="Arial"/>
                <w:sz w:val="18"/>
                <w:szCs w:val="18"/>
                <w:color w:val="auto"/>
              </w:rPr>
              <w:t>ARTICLE TEN - COVENANTS</w:t>
            </w: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8"/>
        </w:trPr>
        <w:tc>
          <w:tcPr>
            <w:tcW w:w="1880" w:type="dxa"/>
            <w:vAlign w:val="bottom"/>
          </w:tcPr>
          <w:p>
            <w:pPr>
              <w:ind w:left="400"/>
              <w:spacing w:after="0"/>
              <w:rPr>
                <w:sz w:val="20"/>
                <w:szCs w:val="20"/>
                <w:color w:val="auto"/>
              </w:rPr>
            </w:pPr>
            <w:r>
              <w:rPr>
                <w:rFonts w:ascii="Arial" w:cs="Arial" w:eastAsia="Arial" w:hAnsi="Arial"/>
                <w:sz w:val="18"/>
                <w:szCs w:val="18"/>
                <w:color w:val="auto"/>
              </w:rPr>
              <w:t>SECTION 1001.</w:t>
            </w:r>
          </w:p>
        </w:tc>
        <w:tc>
          <w:tcPr>
            <w:tcW w:w="8720" w:type="dxa"/>
            <w:vAlign w:val="bottom"/>
          </w:tcPr>
          <w:p>
            <w:pPr>
              <w:ind w:left="280"/>
              <w:spacing w:after="0"/>
              <w:rPr>
                <w:sz w:val="20"/>
                <w:szCs w:val="20"/>
                <w:color w:val="auto"/>
              </w:rPr>
            </w:pPr>
            <w:r>
              <w:rPr>
                <w:rFonts w:ascii="Arial" w:cs="Arial" w:eastAsia="Arial" w:hAnsi="Arial"/>
                <w:sz w:val="18"/>
                <w:szCs w:val="18"/>
                <w:color w:val="auto"/>
              </w:rPr>
              <w:t>Payment of Principal, Premium or Make-Whole Amount, if any; and 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1002.</w:t>
            </w:r>
          </w:p>
        </w:tc>
        <w:tc>
          <w:tcPr>
            <w:tcW w:w="8720" w:type="dxa"/>
            <w:vAlign w:val="bottom"/>
          </w:tcPr>
          <w:p>
            <w:pPr>
              <w:ind w:left="280"/>
              <w:spacing w:after="0"/>
              <w:rPr>
                <w:sz w:val="20"/>
                <w:szCs w:val="20"/>
                <w:color w:val="auto"/>
              </w:rPr>
            </w:pPr>
            <w:r>
              <w:rPr>
                <w:rFonts w:ascii="Arial" w:cs="Arial" w:eastAsia="Arial" w:hAnsi="Arial"/>
                <w:sz w:val="18"/>
                <w:szCs w:val="18"/>
                <w:color w:val="auto"/>
              </w:rPr>
              <w:t>Maintenance of Office or Agency</w:t>
            </w: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1003.</w:t>
            </w:r>
          </w:p>
        </w:tc>
        <w:tc>
          <w:tcPr>
            <w:tcW w:w="8720" w:type="dxa"/>
            <w:vAlign w:val="bottom"/>
          </w:tcPr>
          <w:p>
            <w:pPr>
              <w:ind w:left="280"/>
              <w:spacing w:after="0"/>
              <w:rPr>
                <w:sz w:val="20"/>
                <w:szCs w:val="20"/>
                <w:color w:val="auto"/>
              </w:rPr>
            </w:pPr>
            <w:r>
              <w:rPr>
                <w:rFonts w:ascii="Arial" w:cs="Arial" w:eastAsia="Arial" w:hAnsi="Arial"/>
                <w:sz w:val="18"/>
                <w:szCs w:val="18"/>
                <w:color w:val="auto"/>
              </w:rPr>
              <w:t>Money for Securities Payments to Be Held in Trust</w:t>
            </w: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1004.</w:t>
            </w:r>
          </w:p>
        </w:tc>
        <w:tc>
          <w:tcPr>
            <w:tcW w:w="8720" w:type="dxa"/>
            <w:vAlign w:val="bottom"/>
          </w:tcPr>
          <w:p>
            <w:pPr>
              <w:ind w:left="280"/>
              <w:spacing w:after="0"/>
              <w:rPr>
                <w:sz w:val="20"/>
                <w:szCs w:val="20"/>
                <w:color w:val="auto"/>
              </w:rPr>
            </w:pPr>
            <w:r>
              <w:rPr>
                <w:rFonts w:ascii="Arial" w:cs="Arial" w:eastAsia="Arial" w:hAnsi="Arial"/>
                <w:sz w:val="18"/>
                <w:szCs w:val="18"/>
                <w:color w:val="auto"/>
              </w:rPr>
              <w:t>Existence</w:t>
            </w: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1005.</w:t>
            </w:r>
          </w:p>
        </w:tc>
        <w:tc>
          <w:tcPr>
            <w:tcW w:w="8720" w:type="dxa"/>
            <w:vAlign w:val="bottom"/>
          </w:tcPr>
          <w:p>
            <w:pPr>
              <w:ind w:left="280"/>
              <w:spacing w:after="0"/>
              <w:rPr>
                <w:sz w:val="20"/>
                <w:szCs w:val="20"/>
                <w:color w:val="auto"/>
              </w:rPr>
            </w:pPr>
            <w:r>
              <w:rPr>
                <w:rFonts w:ascii="Arial" w:cs="Arial" w:eastAsia="Arial" w:hAnsi="Arial"/>
                <w:sz w:val="18"/>
                <w:szCs w:val="18"/>
                <w:color w:val="auto"/>
              </w:rPr>
              <w:t>Maintenance of Properties</w:t>
            </w: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1006.</w:t>
            </w:r>
          </w:p>
        </w:tc>
        <w:tc>
          <w:tcPr>
            <w:tcW w:w="872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1007.</w:t>
            </w:r>
          </w:p>
        </w:tc>
        <w:tc>
          <w:tcPr>
            <w:tcW w:w="8720" w:type="dxa"/>
            <w:vAlign w:val="bottom"/>
          </w:tcPr>
          <w:p>
            <w:pPr>
              <w:ind w:left="280"/>
              <w:spacing w:after="0"/>
              <w:rPr>
                <w:sz w:val="20"/>
                <w:szCs w:val="20"/>
                <w:color w:val="auto"/>
              </w:rPr>
            </w:pPr>
            <w:r>
              <w:rPr>
                <w:rFonts w:ascii="Arial" w:cs="Arial" w:eastAsia="Arial" w:hAnsi="Arial"/>
                <w:sz w:val="18"/>
                <w:szCs w:val="18"/>
                <w:color w:val="auto"/>
              </w:rPr>
              <w:t>Payment of Taxes and Other Claims</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1008.</w:t>
            </w:r>
          </w:p>
        </w:tc>
        <w:tc>
          <w:tcPr>
            <w:tcW w:w="8720" w:type="dxa"/>
            <w:vAlign w:val="bottom"/>
          </w:tcPr>
          <w:p>
            <w:pPr>
              <w:ind w:left="280"/>
              <w:spacing w:after="0"/>
              <w:rPr>
                <w:sz w:val="20"/>
                <w:szCs w:val="20"/>
                <w:color w:val="auto"/>
              </w:rPr>
            </w:pPr>
            <w:r>
              <w:rPr>
                <w:rFonts w:ascii="Arial" w:cs="Arial" w:eastAsia="Arial" w:hAnsi="Arial"/>
                <w:sz w:val="18"/>
                <w:szCs w:val="18"/>
                <w:color w:val="auto"/>
              </w:rPr>
              <w:t>Statement as to Compliance</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1009.</w:t>
            </w:r>
          </w:p>
        </w:tc>
        <w:tc>
          <w:tcPr>
            <w:tcW w:w="8720" w:type="dxa"/>
            <w:vAlign w:val="bottom"/>
          </w:tcPr>
          <w:p>
            <w:pPr>
              <w:ind w:left="280"/>
              <w:spacing w:after="0"/>
              <w:rPr>
                <w:sz w:val="20"/>
                <w:szCs w:val="20"/>
                <w:color w:val="auto"/>
              </w:rPr>
            </w:pPr>
            <w:r>
              <w:rPr>
                <w:rFonts w:ascii="Arial" w:cs="Arial" w:eastAsia="Arial" w:hAnsi="Arial"/>
                <w:sz w:val="18"/>
                <w:szCs w:val="18"/>
                <w:color w:val="auto"/>
              </w:rPr>
              <w:t>Waiver of Certain Covenants</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0600" w:type="dxa"/>
            <w:vAlign w:val="bottom"/>
            <w:gridSpan w:val="2"/>
          </w:tcPr>
          <w:p>
            <w:pPr>
              <w:spacing w:after="0"/>
              <w:rPr>
                <w:sz w:val="20"/>
                <w:szCs w:val="20"/>
                <w:color w:val="auto"/>
              </w:rPr>
            </w:pPr>
            <w:r>
              <w:rPr>
                <w:rFonts w:ascii="Arial" w:cs="Arial" w:eastAsia="Arial" w:hAnsi="Arial"/>
                <w:sz w:val="18"/>
                <w:szCs w:val="18"/>
                <w:color w:val="auto"/>
              </w:rPr>
              <w:t>ARTICLE ELEVEN - REDEMPTION OF 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18"/>
        </w:trPr>
        <w:tc>
          <w:tcPr>
            <w:tcW w:w="1880" w:type="dxa"/>
            <w:vAlign w:val="bottom"/>
          </w:tcPr>
          <w:p>
            <w:pPr>
              <w:ind w:left="400"/>
              <w:spacing w:after="0"/>
              <w:rPr>
                <w:sz w:val="20"/>
                <w:szCs w:val="20"/>
                <w:color w:val="auto"/>
              </w:rPr>
            </w:pPr>
            <w:r>
              <w:rPr>
                <w:rFonts w:ascii="Arial" w:cs="Arial" w:eastAsia="Arial" w:hAnsi="Arial"/>
                <w:sz w:val="18"/>
                <w:szCs w:val="18"/>
                <w:color w:val="auto"/>
              </w:rPr>
              <w:t>SECTION 1101.</w:t>
            </w:r>
          </w:p>
        </w:tc>
        <w:tc>
          <w:tcPr>
            <w:tcW w:w="872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1102.</w:t>
            </w:r>
          </w:p>
        </w:tc>
        <w:tc>
          <w:tcPr>
            <w:tcW w:w="8720" w:type="dxa"/>
            <w:vAlign w:val="bottom"/>
          </w:tcPr>
          <w:p>
            <w:pPr>
              <w:ind w:left="280"/>
              <w:spacing w:after="0"/>
              <w:rPr>
                <w:sz w:val="20"/>
                <w:szCs w:val="20"/>
                <w:color w:val="auto"/>
              </w:rPr>
            </w:pPr>
            <w:r>
              <w:rPr>
                <w:rFonts w:ascii="Arial" w:cs="Arial" w:eastAsia="Arial" w:hAnsi="Arial"/>
                <w:sz w:val="18"/>
                <w:szCs w:val="18"/>
                <w:color w:val="auto"/>
              </w:rPr>
              <w:t>Election to Redeem; Notice to Trustee</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1103.</w:t>
            </w:r>
          </w:p>
        </w:tc>
        <w:tc>
          <w:tcPr>
            <w:tcW w:w="8720" w:type="dxa"/>
            <w:vAlign w:val="bottom"/>
          </w:tcPr>
          <w:p>
            <w:pPr>
              <w:ind w:left="280"/>
              <w:spacing w:after="0"/>
              <w:rPr>
                <w:sz w:val="20"/>
                <w:szCs w:val="20"/>
                <w:color w:val="auto"/>
              </w:rPr>
            </w:pPr>
            <w:r>
              <w:rPr>
                <w:rFonts w:ascii="Arial" w:cs="Arial" w:eastAsia="Arial" w:hAnsi="Arial"/>
                <w:sz w:val="18"/>
                <w:szCs w:val="18"/>
                <w:color w:val="auto"/>
              </w:rPr>
              <w:t>Selection by Trustee of Securities to Be Redeemed</w:t>
            </w: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1104.</w:t>
            </w:r>
          </w:p>
        </w:tc>
        <w:tc>
          <w:tcPr>
            <w:tcW w:w="8720" w:type="dxa"/>
            <w:vAlign w:val="bottom"/>
          </w:tcPr>
          <w:p>
            <w:pPr>
              <w:ind w:left="280"/>
              <w:spacing w:after="0"/>
              <w:rPr>
                <w:sz w:val="20"/>
                <w:szCs w:val="20"/>
                <w:color w:val="auto"/>
              </w:rPr>
            </w:pPr>
            <w:r>
              <w:rPr>
                <w:rFonts w:ascii="Arial" w:cs="Arial" w:eastAsia="Arial" w:hAnsi="Arial"/>
                <w:sz w:val="18"/>
                <w:szCs w:val="18"/>
                <w:color w:val="auto"/>
              </w:rPr>
              <w:t>Notice of Redemption</w:t>
            </w: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1105.</w:t>
            </w:r>
          </w:p>
        </w:tc>
        <w:tc>
          <w:tcPr>
            <w:tcW w:w="8720" w:type="dxa"/>
            <w:vAlign w:val="bottom"/>
          </w:tcPr>
          <w:p>
            <w:pPr>
              <w:ind w:left="280"/>
              <w:spacing w:after="0"/>
              <w:rPr>
                <w:sz w:val="20"/>
                <w:szCs w:val="20"/>
                <w:color w:val="auto"/>
              </w:rPr>
            </w:pPr>
            <w:r>
              <w:rPr>
                <w:rFonts w:ascii="Arial" w:cs="Arial" w:eastAsia="Arial" w:hAnsi="Arial"/>
                <w:sz w:val="18"/>
                <w:szCs w:val="18"/>
                <w:color w:val="auto"/>
              </w:rPr>
              <w:t>Deposit of Redemption Price</w:t>
            </w: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1106.</w:t>
            </w:r>
          </w:p>
        </w:tc>
        <w:tc>
          <w:tcPr>
            <w:tcW w:w="8720" w:type="dxa"/>
            <w:vAlign w:val="bottom"/>
          </w:tcPr>
          <w:p>
            <w:pPr>
              <w:ind w:left="280"/>
              <w:spacing w:after="0"/>
              <w:rPr>
                <w:sz w:val="20"/>
                <w:szCs w:val="20"/>
                <w:color w:val="auto"/>
              </w:rPr>
            </w:pPr>
            <w:r>
              <w:rPr>
                <w:rFonts w:ascii="Arial" w:cs="Arial" w:eastAsia="Arial" w:hAnsi="Arial"/>
                <w:sz w:val="18"/>
                <w:szCs w:val="18"/>
                <w:color w:val="auto"/>
              </w:rPr>
              <w:t>Securities Payable on Redemption Date</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1107.</w:t>
            </w:r>
          </w:p>
        </w:tc>
        <w:tc>
          <w:tcPr>
            <w:tcW w:w="8720" w:type="dxa"/>
            <w:vAlign w:val="bottom"/>
          </w:tcPr>
          <w:p>
            <w:pPr>
              <w:ind w:left="280"/>
              <w:spacing w:after="0"/>
              <w:rPr>
                <w:sz w:val="20"/>
                <w:szCs w:val="20"/>
                <w:color w:val="auto"/>
              </w:rPr>
            </w:pPr>
            <w:r>
              <w:rPr>
                <w:rFonts w:ascii="Arial" w:cs="Arial" w:eastAsia="Arial" w:hAnsi="Arial"/>
                <w:sz w:val="18"/>
                <w:szCs w:val="18"/>
                <w:color w:val="auto"/>
              </w:rPr>
              <w:t>Securities Redeemed in Part</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-5464175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-5464175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10320" w:type="dxa"/>
            <w:vAlign w:val="bottom"/>
            <w:gridSpan w:val="2"/>
          </w:tcPr>
          <w:p>
            <w:pPr>
              <w:spacing w:after="0"/>
              <w:rPr>
                <w:sz w:val="20"/>
                <w:szCs w:val="20"/>
                <w:color w:val="auto"/>
              </w:rPr>
            </w:pPr>
            <w:r>
              <w:rPr>
                <w:rFonts w:ascii="Arial" w:cs="Arial" w:eastAsia="Arial" w:hAnsi="Arial"/>
                <w:sz w:val="18"/>
                <w:szCs w:val="18"/>
                <w:color w:val="auto"/>
              </w:rPr>
              <w:t>ARTICLE TWELVE - SINKING FUNDS</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8"/>
        </w:trPr>
        <w:tc>
          <w:tcPr>
            <w:tcW w:w="1880" w:type="dxa"/>
            <w:vAlign w:val="bottom"/>
          </w:tcPr>
          <w:p>
            <w:pPr>
              <w:ind w:left="400"/>
              <w:spacing w:after="0"/>
              <w:rPr>
                <w:sz w:val="20"/>
                <w:szCs w:val="20"/>
                <w:color w:val="auto"/>
              </w:rPr>
            </w:pPr>
            <w:r>
              <w:rPr>
                <w:rFonts w:ascii="Arial" w:cs="Arial" w:eastAsia="Arial" w:hAnsi="Arial"/>
                <w:sz w:val="18"/>
                <w:szCs w:val="18"/>
                <w:color w:val="auto"/>
              </w:rPr>
              <w:t>SECTION 1201.</w:t>
            </w:r>
          </w:p>
        </w:tc>
        <w:tc>
          <w:tcPr>
            <w:tcW w:w="844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1202.</w:t>
            </w:r>
          </w:p>
        </w:tc>
        <w:tc>
          <w:tcPr>
            <w:tcW w:w="8440" w:type="dxa"/>
            <w:vAlign w:val="bottom"/>
          </w:tcPr>
          <w:p>
            <w:pPr>
              <w:ind w:left="280"/>
              <w:spacing w:after="0"/>
              <w:rPr>
                <w:sz w:val="20"/>
                <w:szCs w:val="20"/>
                <w:color w:val="auto"/>
              </w:rPr>
            </w:pPr>
            <w:r>
              <w:rPr>
                <w:rFonts w:ascii="Arial" w:cs="Arial" w:eastAsia="Arial" w:hAnsi="Arial"/>
                <w:sz w:val="18"/>
                <w:szCs w:val="18"/>
                <w:color w:val="auto"/>
              </w:rPr>
              <w:t>Satisfaction of Sinking Fund Payments with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1203.</w:t>
            </w:r>
          </w:p>
        </w:tc>
        <w:tc>
          <w:tcPr>
            <w:tcW w:w="8440" w:type="dxa"/>
            <w:vAlign w:val="bottom"/>
          </w:tcPr>
          <w:p>
            <w:pPr>
              <w:ind w:left="280"/>
              <w:spacing w:after="0"/>
              <w:rPr>
                <w:sz w:val="20"/>
                <w:szCs w:val="20"/>
                <w:color w:val="auto"/>
              </w:rPr>
            </w:pPr>
            <w:r>
              <w:rPr>
                <w:rFonts w:ascii="Arial" w:cs="Arial" w:eastAsia="Arial" w:hAnsi="Arial"/>
                <w:sz w:val="18"/>
                <w:szCs w:val="18"/>
                <w:color w:val="auto"/>
              </w:rPr>
              <w:t>Redemption of Securities for Sinking Fund</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10320" w:type="dxa"/>
            <w:vAlign w:val="bottom"/>
            <w:gridSpan w:val="2"/>
          </w:tcPr>
          <w:p>
            <w:pPr>
              <w:spacing w:after="0"/>
              <w:rPr>
                <w:sz w:val="20"/>
                <w:szCs w:val="20"/>
                <w:color w:val="auto"/>
              </w:rPr>
            </w:pPr>
            <w:r>
              <w:rPr>
                <w:rFonts w:ascii="Arial" w:cs="Arial" w:eastAsia="Arial" w:hAnsi="Arial"/>
                <w:sz w:val="18"/>
                <w:szCs w:val="18"/>
                <w:color w:val="auto"/>
              </w:rPr>
              <w:t>ARTICLE THIRTEEN - REPAYMENT AT THE OPTION OF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18"/>
        </w:trPr>
        <w:tc>
          <w:tcPr>
            <w:tcW w:w="1880" w:type="dxa"/>
            <w:vAlign w:val="bottom"/>
          </w:tcPr>
          <w:p>
            <w:pPr>
              <w:ind w:left="400"/>
              <w:spacing w:after="0"/>
              <w:rPr>
                <w:sz w:val="20"/>
                <w:szCs w:val="20"/>
                <w:color w:val="auto"/>
              </w:rPr>
            </w:pPr>
            <w:r>
              <w:rPr>
                <w:rFonts w:ascii="Arial" w:cs="Arial" w:eastAsia="Arial" w:hAnsi="Arial"/>
                <w:sz w:val="18"/>
                <w:szCs w:val="18"/>
                <w:color w:val="auto"/>
              </w:rPr>
              <w:t>SECTION 1301.</w:t>
            </w:r>
          </w:p>
        </w:tc>
        <w:tc>
          <w:tcPr>
            <w:tcW w:w="844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1302.</w:t>
            </w:r>
          </w:p>
        </w:tc>
        <w:tc>
          <w:tcPr>
            <w:tcW w:w="8440" w:type="dxa"/>
            <w:vAlign w:val="bottom"/>
          </w:tcPr>
          <w:p>
            <w:pPr>
              <w:ind w:left="280"/>
              <w:spacing w:after="0"/>
              <w:rPr>
                <w:sz w:val="20"/>
                <w:szCs w:val="20"/>
                <w:color w:val="auto"/>
              </w:rPr>
            </w:pPr>
            <w:r>
              <w:rPr>
                <w:rFonts w:ascii="Arial" w:cs="Arial" w:eastAsia="Arial" w:hAnsi="Arial"/>
                <w:sz w:val="18"/>
                <w:szCs w:val="18"/>
                <w:color w:val="auto"/>
              </w:rPr>
              <w:t>Repayment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1303.</w:t>
            </w:r>
          </w:p>
        </w:tc>
        <w:tc>
          <w:tcPr>
            <w:tcW w:w="8440" w:type="dxa"/>
            <w:vAlign w:val="bottom"/>
          </w:tcPr>
          <w:p>
            <w:pPr>
              <w:ind w:left="280"/>
              <w:spacing w:after="0"/>
              <w:rPr>
                <w:sz w:val="20"/>
                <w:szCs w:val="20"/>
                <w:color w:val="auto"/>
              </w:rPr>
            </w:pPr>
            <w:r>
              <w:rPr>
                <w:rFonts w:ascii="Arial" w:cs="Arial" w:eastAsia="Arial" w:hAnsi="Arial"/>
                <w:sz w:val="18"/>
                <w:szCs w:val="18"/>
                <w:color w:val="auto"/>
              </w:rPr>
              <w:t>Exercise of Option</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1880" w:type="dxa"/>
            <w:vAlign w:val="bottom"/>
          </w:tcPr>
          <w:p>
            <w:pPr>
              <w:spacing w:after="0"/>
              <w:rPr>
                <w:sz w:val="24"/>
                <w:szCs w:val="24"/>
                <w:color w:val="auto"/>
              </w:rPr>
            </w:pPr>
          </w:p>
        </w:tc>
        <w:tc>
          <w:tcPr>
            <w:tcW w:w="8440" w:type="dxa"/>
            <w:vAlign w:val="bottom"/>
          </w:tcPr>
          <w:p>
            <w:pPr>
              <w:ind w:left="3760"/>
              <w:spacing w:after="0"/>
              <w:rPr>
                <w:sz w:val="20"/>
                <w:szCs w:val="20"/>
                <w:color w:val="auto"/>
              </w:rPr>
            </w:pPr>
            <w:r>
              <w:rPr>
                <w:rFonts w:ascii="Arial" w:cs="Arial" w:eastAsia="Arial" w:hAnsi="Arial"/>
                <w:sz w:val="18"/>
                <w:szCs w:val="18"/>
                <w:color w:val="auto"/>
              </w:rPr>
              <w:t>iii</w:t>
            </w:r>
          </w:p>
        </w:tc>
        <w:tc>
          <w:tcPr>
            <w:tcW w:w="1140" w:type="dxa"/>
            <w:vAlign w:val="bottom"/>
          </w:tcPr>
          <w:p>
            <w:pPr>
              <w:spacing w:after="0"/>
              <w:rPr>
                <w:sz w:val="24"/>
                <w:szCs w:val="24"/>
                <w:color w:val="auto"/>
              </w:rPr>
            </w:pPr>
          </w:p>
        </w:tc>
      </w:tr>
      <w:tr>
        <w:trPr>
          <w:trHeight w:val="132"/>
        </w:trPr>
        <w:tc>
          <w:tcPr>
            <w:tcW w:w="1880" w:type="dxa"/>
            <w:vAlign w:val="bottom"/>
            <w:tcBorders>
              <w:bottom w:val="single" w:sz="8" w:color="808080"/>
            </w:tcBorders>
          </w:tcPr>
          <w:p>
            <w:pPr>
              <w:spacing w:after="0"/>
              <w:rPr>
                <w:sz w:val="11"/>
                <w:szCs w:val="11"/>
                <w:color w:val="auto"/>
              </w:rPr>
            </w:pPr>
          </w:p>
        </w:tc>
        <w:tc>
          <w:tcPr>
            <w:tcW w:w="84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r>
      <w:tr>
        <w:trPr>
          <w:trHeight w:val="766"/>
        </w:trPr>
        <w:tc>
          <w:tcPr>
            <w:tcW w:w="1880" w:type="dxa"/>
            <w:vAlign w:val="bottom"/>
          </w:tcPr>
          <w:p>
            <w:pPr>
              <w:ind w:left="400"/>
              <w:spacing w:after="0"/>
              <w:rPr>
                <w:sz w:val="20"/>
                <w:szCs w:val="20"/>
                <w:color w:val="auto"/>
              </w:rPr>
            </w:pPr>
            <w:r>
              <w:rPr>
                <w:rFonts w:ascii="Arial" w:cs="Arial" w:eastAsia="Arial" w:hAnsi="Arial"/>
                <w:sz w:val="18"/>
                <w:szCs w:val="18"/>
                <w:color w:val="auto"/>
              </w:rPr>
              <w:t>SECTION 1304.</w:t>
            </w:r>
          </w:p>
        </w:tc>
        <w:tc>
          <w:tcPr>
            <w:tcW w:w="8440" w:type="dxa"/>
            <w:vAlign w:val="bottom"/>
          </w:tcPr>
          <w:p>
            <w:pPr>
              <w:ind w:left="280"/>
              <w:spacing w:after="0"/>
              <w:rPr>
                <w:sz w:val="20"/>
                <w:szCs w:val="20"/>
                <w:color w:val="auto"/>
              </w:rPr>
            </w:pPr>
            <w:r>
              <w:rPr>
                <w:rFonts w:ascii="Arial" w:cs="Arial" w:eastAsia="Arial" w:hAnsi="Arial"/>
                <w:sz w:val="18"/>
                <w:szCs w:val="18"/>
                <w:color w:val="auto"/>
              </w:rPr>
              <w:t>When Securities Presented for Repayment Become Due and Payable</w:t>
            </w: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1305.</w:t>
            </w:r>
          </w:p>
        </w:tc>
        <w:tc>
          <w:tcPr>
            <w:tcW w:w="8440" w:type="dxa"/>
            <w:vAlign w:val="bottom"/>
          </w:tcPr>
          <w:p>
            <w:pPr>
              <w:ind w:left="280"/>
              <w:spacing w:after="0"/>
              <w:rPr>
                <w:sz w:val="20"/>
                <w:szCs w:val="20"/>
                <w:color w:val="auto"/>
              </w:rPr>
            </w:pPr>
            <w:r>
              <w:rPr>
                <w:rFonts w:ascii="Arial" w:cs="Arial" w:eastAsia="Arial" w:hAnsi="Arial"/>
                <w:sz w:val="18"/>
                <w:szCs w:val="18"/>
                <w:color w:val="auto"/>
              </w:rPr>
              <w:t>Securities Repaid in Part</w:t>
            </w: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10320" w:type="dxa"/>
            <w:vAlign w:val="bottom"/>
            <w:gridSpan w:val="2"/>
          </w:tcPr>
          <w:p>
            <w:pPr>
              <w:spacing w:after="0"/>
              <w:rPr>
                <w:sz w:val="20"/>
                <w:szCs w:val="20"/>
                <w:color w:val="auto"/>
              </w:rPr>
            </w:pPr>
            <w:r>
              <w:rPr>
                <w:rFonts w:ascii="Arial" w:cs="Arial" w:eastAsia="Arial" w:hAnsi="Arial"/>
                <w:sz w:val="18"/>
                <w:szCs w:val="18"/>
                <w:color w:val="auto"/>
              </w:rPr>
              <w:t>ARTICLE FOURTEEN - DEFEASANCE AND COVENANT DEFEASANCE</w:t>
            </w: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18"/>
        </w:trPr>
        <w:tc>
          <w:tcPr>
            <w:tcW w:w="1880" w:type="dxa"/>
            <w:vAlign w:val="bottom"/>
          </w:tcPr>
          <w:p>
            <w:pPr>
              <w:ind w:left="400"/>
              <w:spacing w:after="0"/>
              <w:rPr>
                <w:sz w:val="20"/>
                <w:szCs w:val="20"/>
                <w:color w:val="auto"/>
              </w:rPr>
            </w:pPr>
            <w:r>
              <w:rPr>
                <w:rFonts w:ascii="Arial" w:cs="Arial" w:eastAsia="Arial" w:hAnsi="Arial"/>
                <w:sz w:val="18"/>
                <w:szCs w:val="18"/>
                <w:color w:val="auto"/>
              </w:rPr>
              <w:t>SECTION 1401.</w:t>
            </w:r>
          </w:p>
        </w:tc>
        <w:tc>
          <w:tcPr>
            <w:tcW w:w="8440" w:type="dxa"/>
            <w:vAlign w:val="bottom"/>
          </w:tcPr>
          <w:p>
            <w:pPr>
              <w:ind w:left="280"/>
              <w:spacing w:after="0"/>
              <w:rPr>
                <w:sz w:val="20"/>
                <w:szCs w:val="20"/>
                <w:color w:val="auto"/>
              </w:rPr>
            </w:pPr>
            <w:r>
              <w:rPr>
                <w:rFonts w:ascii="Arial" w:cs="Arial" w:eastAsia="Arial" w:hAnsi="Arial"/>
                <w:sz w:val="18"/>
                <w:szCs w:val="18"/>
                <w:color w:val="auto"/>
              </w:rPr>
              <w:t>Applicability of Article; Company’s Option to Effect Defeasance or Covenant Defeasance</w:t>
            </w: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1402.</w:t>
            </w:r>
          </w:p>
        </w:tc>
        <w:tc>
          <w:tcPr>
            <w:tcW w:w="8440" w:type="dxa"/>
            <w:vAlign w:val="bottom"/>
          </w:tcPr>
          <w:p>
            <w:pPr>
              <w:ind w:left="280"/>
              <w:spacing w:after="0"/>
              <w:rPr>
                <w:sz w:val="20"/>
                <w:szCs w:val="20"/>
                <w:color w:val="auto"/>
              </w:rPr>
            </w:pPr>
            <w:r>
              <w:rPr>
                <w:rFonts w:ascii="Arial" w:cs="Arial" w:eastAsia="Arial" w:hAnsi="Arial"/>
                <w:sz w:val="18"/>
                <w:szCs w:val="18"/>
                <w:color w:val="auto"/>
              </w:rPr>
              <w:t>Defeasance and Discharge</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1403.</w:t>
            </w:r>
          </w:p>
        </w:tc>
        <w:tc>
          <w:tcPr>
            <w:tcW w:w="8440" w:type="dxa"/>
            <w:vAlign w:val="bottom"/>
          </w:tcPr>
          <w:p>
            <w:pPr>
              <w:ind w:left="280"/>
              <w:spacing w:after="0"/>
              <w:rPr>
                <w:sz w:val="20"/>
                <w:szCs w:val="20"/>
                <w:color w:val="auto"/>
              </w:rPr>
            </w:pPr>
            <w:r>
              <w:rPr>
                <w:rFonts w:ascii="Arial" w:cs="Arial" w:eastAsia="Arial" w:hAnsi="Arial"/>
                <w:sz w:val="18"/>
                <w:szCs w:val="18"/>
                <w:color w:val="auto"/>
              </w:rPr>
              <w:t>Covenant Defeasance</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1404.</w:t>
            </w:r>
          </w:p>
        </w:tc>
        <w:tc>
          <w:tcPr>
            <w:tcW w:w="8440" w:type="dxa"/>
            <w:vAlign w:val="bottom"/>
          </w:tcPr>
          <w:p>
            <w:pPr>
              <w:ind w:left="280"/>
              <w:spacing w:after="0"/>
              <w:rPr>
                <w:sz w:val="20"/>
                <w:szCs w:val="20"/>
                <w:color w:val="auto"/>
              </w:rPr>
            </w:pPr>
            <w:r>
              <w:rPr>
                <w:rFonts w:ascii="Arial" w:cs="Arial" w:eastAsia="Arial" w:hAnsi="Arial"/>
                <w:sz w:val="18"/>
                <w:szCs w:val="18"/>
                <w:color w:val="auto"/>
              </w:rPr>
              <w:t>Conditions to Defeasance or Covenant Defeasance</w:t>
            </w: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1405.</w:t>
            </w:r>
          </w:p>
        </w:tc>
        <w:tc>
          <w:tcPr>
            <w:tcW w:w="8440" w:type="dxa"/>
            <w:vAlign w:val="bottom"/>
          </w:tcPr>
          <w:p>
            <w:pPr>
              <w:ind w:left="280"/>
              <w:spacing w:after="0"/>
              <w:rPr>
                <w:sz w:val="20"/>
                <w:szCs w:val="20"/>
                <w:color w:val="auto"/>
              </w:rPr>
            </w:pPr>
            <w:r>
              <w:rPr>
                <w:rFonts w:ascii="Arial" w:cs="Arial" w:eastAsia="Arial" w:hAnsi="Arial"/>
                <w:sz w:val="18"/>
                <w:szCs w:val="18"/>
                <w:color w:val="auto"/>
              </w:rPr>
              <w:t>Deposited Money and Government Obligations to Be Held in Trust; Other Miscellaneous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32"/>
        </w:trPr>
        <w:tc>
          <w:tcPr>
            <w:tcW w:w="10320" w:type="dxa"/>
            <w:vAlign w:val="bottom"/>
            <w:gridSpan w:val="2"/>
          </w:tcPr>
          <w:p>
            <w:pPr>
              <w:spacing w:after="0"/>
              <w:rPr>
                <w:sz w:val="20"/>
                <w:szCs w:val="20"/>
                <w:color w:val="auto"/>
              </w:rPr>
            </w:pPr>
            <w:r>
              <w:rPr>
                <w:rFonts w:ascii="Arial" w:cs="Arial" w:eastAsia="Arial" w:hAnsi="Arial"/>
                <w:sz w:val="18"/>
                <w:szCs w:val="18"/>
                <w:color w:val="auto"/>
              </w:rPr>
              <w:t>ARTICLE FIFTEEN - MEETINGS OF HOLDERS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8"/>
        </w:trPr>
        <w:tc>
          <w:tcPr>
            <w:tcW w:w="1880" w:type="dxa"/>
            <w:vAlign w:val="bottom"/>
          </w:tcPr>
          <w:p>
            <w:pPr>
              <w:ind w:left="400"/>
              <w:spacing w:after="0"/>
              <w:rPr>
                <w:sz w:val="20"/>
                <w:szCs w:val="20"/>
                <w:color w:val="auto"/>
              </w:rPr>
            </w:pPr>
            <w:r>
              <w:rPr>
                <w:rFonts w:ascii="Arial" w:cs="Arial" w:eastAsia="Arial" w:hAnsi="Arial"/>
                <w:sz w:val="18"/>
                <w:szCs w:val="18"/>
                <w:color w:val="auto"/>
              </w:rPr>
              <w:t>SECTION 1501.</w:t>
            </w:r>
          </w:p>
        </w:tc>
        <w:tc>
          <w:tcPr>
            <w:tcW w:w="8440" w:type="dxa"/>
            <w:vAlign w:val="bottom"/>
          </w:tcPr>
          <w:p>
            <w:pPr>
              <w:ind w:left="280"/>
              <w:spacing w:after="0"/>
              <w:rPr>
                <w:sz w:val="20"/>
                <w:szCs w:val="20"/>
                <w:color w:val="auto"/>
              </w:rPr>
            </w:pPr>
            <w:r>
              <w:rPr>
                <w:rFonts w:ascii="Arial" w:cs="Arial" w:eastAsia="Arial" w:hAnsi="Arial"/>
                <w:sz w:val="18"/>
                <w:szCs w:val="18"/>
                <w:color w:val="auto"/>
              </w:rPr>
              <w:t>Purposes for Which Meetings May Be Called</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1502.</w:t>
            </w:r>
          </w:p>
        </w:tc>
        <w:tc>
          <w:tcPr>
            <w:tcW w:w="8440" w:type="dxa"/>
            <w:vAlign w:val="bottom"/>
          </w:tcPr>
          <w:p>
            <w:pPr>
              <w:ind w:left="280"/>
              <w:spacing w:after="0"/>
              <w:rPr>
                <w:sz w:val="20"/>
                <w:szCs w:val="20"/>
                <w:color w:val="auto"/>
              </w:rPr>
            </w:pPr>
            <w:r>
              <w:rPr>
                <w:rFonts w:ascii="Arial" w:cs="Arial" w:eastAsia="Arial" w:hAnsi="Arial"/>
                <w:sz w:val="18"/>
                <w:szCs w:val="18"/>
                <w:color w:val="auto"/>
              </w:rPr>
              <w:t>Call, Notice and Place of Meetings</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1503.</w:t>
            </w:r>
          </w:p>
        </w:tc>
        <w:tc>
          <w:tcPr>
            <w:tcW w:w="8440" w:type="dxa"/>
            <w:vAlign w:val="bottom"/>
          </w:tcPr>
          <w:p>
            <w:pPr>
              <w:ind w:left="280"/>
              <w:spacing w:after="0"/>
              <w:rPr>
                <w:sz w:val="20"/>
                <w:szCs w:val="20"/>
                <w:color w:val="auto"/>
              </w:rPr>
            </w:pPr>
            <w:r>
              <w:rPr>
                <w:rFonts w:ascii="Arial" w:cs="Arial" w:eastAsia="Arial" w:hAnsi="Arial"/>
                <w:sz w:val="18"/>
                <w:szCs w:val="18"/>
                <w:color w:val="auto"/>
              </w:rPr>
              <w:t>Persons Entitled to Vote at Meetings</w:t>
            </w: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1504.</w:t>
            </w:r>
          </w:p>
        </w:tc>
        <w:tc>
          <w:tcPr>
            <w:tcW w:w="8440" w:type="dxa"/>
            <w:vAlign w:val="bottom"/>
          </w:tcPr>
          <w:p>
            <w:pPr>
              <w:ind w:left="280"/>
              <w:spacing w:after="0"/>
              <w:rPr>
                <w:sz w:val="20"/>
                <w:szCs w:val="20"/>
                <w:color w:val="auto"/>
              </w:rPr>
            </w:pPr>
            <w:r>
              <w:rPr>
                <w:rFonts w:ascii="Arial" w:cs="Arial" w:eastAsia="Arial" w:hAnsi="Arial"/>
                <w:sz w:val="18"/>
                <w:szCs w:val="18"/>
                <w:color w:val="auto"/>
              </w:rPr>
              <w:t>Quorum; Action</w:t>
            </w: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1505.</w:t>
            </w:r>
          </w:p>
        </w:tc>
        <w:tc>
          <w:tcPr>
            <w:tcW w:w="8440" w:type="dxa"/>
            <w:vAlign w:val="bottom"/>
          </w:tcPr>
          <w:p>
            <w:pPr>
              <w:ind w:left="28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1506.</w:t>
            </w:r>
          </w:p>
        </w:tc>
        <w:tc>
          <w:tcPr>
            <w:tcW w:w="8440" w:type="dxa"/>
            <w:vAlign w:val="bottom"/>
          </w:tcPr>
          <w:p>
            <w:pPr>
              <w:ind w:left="280"/>
              <w:spacing w:after="0"/>
              <w:rPr>
                <w:sz w:val="20"/>
                <w:szCs w:val="20"/>
                <w:color w:val="auto"/>
              </w:rPr>
            </w:pPr>
            <w:r>
              <w:rPr>
                <w:rFonts w:ascii="Arial" w:cs="Arial" w:eastAsia="Arial" w:hAnsi="Arial"/>
                <w:sz w:val="18"/>
                <w:szCs w:val="18"/>
                <w:color w:val="auto"/>
              </w:rPr>
              <w:t>Counting Votes and Recording Action of Meetings</w:t>
            </w: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32"/>
        </w:trPr>
        <w:tc>
          <w:tcPr>
            <w:tcW w:w="10320" w:type="dxa"/>
            <w:vAlign w:val="bottom"/>
            <w:gridSpan w:val="2"/>
          </w:tcPr>
          <w:p>
            <w:pPr>
              <w:spacing w:after="0"/>
              <w:rPr>
                <w:sz w:val="20"/>
                <w:szCs w:val="20"/>
                <w:color w:val="auto"/>
              </w:rPr>
            </w:pPr>
            <w:r>
              <w:rPr>
                <w:rFonts w:ascii="Arial" w:cs="Arial" w:eastAsia="Arial" w:hAnsi="Arial"/>
                <w:sz w:val="18"/>
                <w:szCs w:val="18"/>
                <w:color w:val="auto"/>
              </w:rPr>
              <w:t>ARTICLE SIXTEEN - SUBORDINATION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8"/>
        </w:trPr>
        <w:tc>
          <w:tcPr>
            <w:tcW w:w="1880" w:type="dxa"/>
            <w:vAlign w:val="bottom"/>
          </w:tcPr>
          <w:p>
            <w:pPr>
              <w:ind w:left="400"/>
              <w:spacing w:after="0"/>
              <w:rPr>
                <w:sz w:val="20"/>
                <w:szCs w:val="20"/>
                <w:color w:val="auto"/>
              </w:rPr>
            </w:pPr>
            <w:r>
              <w:rPr>
                <w:rFonts w:ascii="Arial" w:cs="Arial" w:eastAsia="Arial" w:hAnsi="Arial"/>
                <w:sz w:val="18"/>
                <w:szCs w:val="18"/>
                <w:color w:val="auto"/>
              </w:rPr>
              <w:t>SECTION 1601.</w:t>
            </w:r>
          </w:p>
        </w:tc>
        <w:tc>
          <w:tcPr>
            <w:tcW w:w="8440" w:type="dxa"/>
            <w:vAlign w:val="bottom"/>
          </w:tcPr>
          <w:p>
            <w:pPr>
              <w:ind w:left="280"/>
              <w:spacing w:after="0"/>
              <w:rPr>
                <w:sz w:val="20"/>
                <w:szCs w:val="20"/>
                <w:color w:val="auto"/>
              </w:rPr>
            </w:pPr>
            <w:r>
              <w:rPr>
                <w:rFonts w:ascii="Arial" w:cs="Arial" w:eastAsia="Arial" w:hAnsi="Arial"/>
                <w:sz w:val="18"/>
                <w:szCs w:val="18"/>
                <w:color w:val="auto"/>
              </w:rPr>
              <w:t>Agreement to Subordinate</w:t>
            </w: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1602.</w:t>
            </w:r>
          </w:p>
        </w:tc>
        <w:tc>
          <w:tcPr>
            <w:tcW w:w="8440" w:type="dxa"/>
            <w:vAlign w:val="bottom"/>
          </w:tcPr>
          <w:p>
            <w:pPr>
              <w:ind w:left="280"/>
              <w:spacing w:after="0"/>
              <w:rPr>
                <w:sz w:val="20"/>
                <w:szCs w:val="20"/>
                <w:color w:val="auto"/>
              </w:rPr>
            </w:pPr>
            <w:r>
              <w:rPr>
                <w:rFonts w:ascii="Arial" w:cs="Arial" w:eastAsia="Arial" w:hAnsi="Arial"/>
                <w:sz w:val="18"/>
                <w:szCs w:val="18"/>
                <w:color w:val="auto"/>
              </w:rPr>
              <w:t>Payment Over of Proceeds upon Dissolution, Etc.</w:t>
            </w: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1603.</w:t>
            </w:r>
          </w:p>
        </w:tc>
        <w:tc>
          <w:tcPr>
            <w:tcW w:w="8440" w:type="dxa"/>
            <w:vAlign w:val="bottom"/>
          </w:tcPr>
          <w:p>
            <w:pPr>
              <w:ind w:left="280"/>
              <w:spacing w:after="0"/>
              <w:rPr>
                <w:sz w:val="20"/>
                <w:szCs w:val="20"/>
                <w:color w:val="auto"/>
              </w:rPr>
            </w:pPr>
            <w:r>
              <w:rPr>
                <w:rFonts w:ascii="Arial" w:cs="Arial" w:eastAsia="Arial" w:hAnsi="Arial"/>
                <w:sz w:val="18"/>
                <w:szCs w:val="18"/>
                <w:color w:val="auto"/>
              </w:rPr>
              <w:t>No Payment When Senior Indebtedness in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1604.</w:t>
            </w:r>
          </w:p>
        </w:tc>
        <w:tc>
          <w:tcPr>
            <w:tcW w:w="8440" w:type="dxa"/>
            <w:vAlign w:val="bottom"/>
          </w:tcPr>
          <w:p>
            <w:pPr>
              <w:ind w:left="280"/>
              <w:spacing w:after="0"/>
              <w:rPr>
                <w:sz w:val="20"/>
                <w:szCs w:val="20"/>
                <w:color w:val="auto"/>
              </w:rPr>
            </w:pPr>
            <w:r>
              <w:rPr>
                <w:rFonts w:ascii="Arial" w:cs="Arial" w:eastAsia="Arial" w:hAnsi="Arial"/>
                <w:sz w:val="18"/>
                <w:szCs w:val="18"/>
                <w:color w:val="auto"/>
              </w:rPr>
              <w:t>Reliance by Senior Indebtedness on Subordination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1605.</w:t>
            </w:r>
          </w:p>
        </w:tc>
        <w:tc>
          <w:tcPr>
            <w:tcW w:w="8440" w:type="dxa"/>
            <w:vAlign w:val="bottom"/>
          </w:tcPr>
          <w:p>
            <w:pPr>
              <w:ind w:left="280"/>
              <w:spacing w:after="0"/>
              <w:rPr>
                <w:sz w:val="20"/>
                <w:szCs w:val="20"/>
                <w:color w:val="auto"/>
              </w:rPr>
            </w:pPr>
            <w:r>
              <w:rPr>
                <w:rFonts w:ascii="Arial" w:cs="Arial" w:eastAsia="Arial" w:hAnsi="Arial"/>
                <w:sz w:val="18"/>
                <w:szCs w:val="18"/>
                <w:color w:val="auto"/>
              </w:rPr>
              <w:t>Subrogation to Rights of Holders of Senior Indebtedness</w:t>
            </w: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1606.</w:t>
            </w:r>
          </w:p>
        </w:tc>
        <w:tc>
          <w:tcPr>
            <w:tcW w:w="8440" w:type="dxa"/>
            <w:vAlign w:val="bottom"/>
          </w:tcPr>
          <w:p>
            <w:pPr>
              <w:ind w:left="280"/>
              <w:spacing w:after="0"/>
              <w:rPr>
                <w:sz w:val="20"/>
                <w:szCs w:val="20"/>
                <w:color w:val="auto"/>
              </w:rPr>
            </w:pPr>
            <w:r>
              <w:rPr>
                <w:rFonts w:ascii="Arial" w:cs="Arial" w:eastAsia="Arial" w:hAnsi="Arial"/>
                <w:sz w:val="18"/>
                <w:szCs w:val="18"/>
                <w:color w:val="auto"/>
              </w:rPr>
              <w:t>Provisions Solely to Define Relative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1607.</w:t>
            </w:r>
          </w:p>
        </w:tc>
        <w:tc>
          <w:tcPr>
            <w:tcW w:w="8440" w:type="dxa"/>
            <w:vAlign w:val="bottom"/>
          </w:tcPr>
          <w:p>
            <w:pPr>
              <w:ind w:left="280"/>
              <w:spacing w:after="0"/>
              <w:rPr>
                <w:sz w:val="20"/>
                <w:szCs w:val="20"/>
                <w:color w:val="auto"/>
              </w:rPr>
            </w:pPr>
            <w:r>
              <w:rPr>
                <w:rFonts w:ascii="Arial" w:cs="Arial" w:eastAsia="Arial" w:hAnsi="Arial"/>
                <w:sz w:val="18"/>
                <w:szCs w:val="18"/>
                <w:color w:val="auto"/>
              </w:rPr>
              <w:t>Trustee to Effectuate Subordination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1608.</w:t>
            </w:r>
          </w:p>
        </w:tc>
        <w:tc>
          <w:tcPr>
            <w:tcW w:w="8440" w:type="dxa"/>
            <w:vAlign w:val="bottom"/>
          </w:tcPr>
          <w:p>
            <w:pPr>
              <w:ind w:left="280"/>
              <w:spacing w:after="0"/>
              <w:rPr>
                <w:sz w:val="20"/>
                <w:szCs w:val="20"/>
                <w:color w:val="auto"/>
              </w:rPr>
            </w:pPr>
            <w:r>
              <w:rPr>
                <w:rFonts w:ascii="Arial" w:cs="Arial" w:eastAsia="Arial" w:hAnsi="Arial"/>
                <w:sz w:val="18"/>
                <w:szCs w:val="18"/>
                <w:color w:val="auto"/>
              </w:rPr>
              <w:t>No Waiver of Subordination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1609.</w:t>
            </w:r>
          </w:p>
        </w:tc>
        <w:tc>
          <w:tcPr>
            <w:tcW w:w="8440" w:type="dxa"/>
            <w:vAlign w:val="bottom"/>
          </w:tcPr>
          <w:p>
            <w:pPr>
              <w:ind w:left="280"/>
              <w:spacing w:after="0"/>
              <w:rPr>
                <w:sz w:val="20"/>
                <w:szCs w:val="20"/>
                <w:color w:val="auto"/>
              </w:rPr>
            </w:pPr>
            <w:r>
              <w:rPr>
                <w:rFonts w:ascii="Arial" w:cs="Arial" w:eastAsia="Arial" w:hAnsi="Arial"/>
                <w:sz w:val="18"/>
                <w:szCs w:val="18"/>
                <w:color w:val="auto"/>
              </w:rPr>
              <w:t>Notice to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1610.</w:t>
            </w:r>
          </w:p>
        </w:tc>
        <w:tc>
          <w:tcPr>
            <w:tcW w:w="8440" w:type="dxa"/>
            <w:vAlign w:val="bottom"/>
          </w:tcPr>
          <w:p>
            <w:pPr>
              <w:ind w:left="280"/>
              <w:spacing w:after="0"/>
              <w:rPr>
                <w:sz w:val="20"/>
                <w:szCs w:val="20"/>
                <w:color w:val="auto"/>
              </w:rPr>
            </w:pPr>
            <w:r>
              <w:rPr>
                <w:rFonts w:ascii="Arial" w:cs="Arial" w:eastAsia="Arial" w:hAnsi="Arial"/>
                <w:sz w:val="18"/>
                <w:szCs w:val="18"/>
                <w:color w:val="auto"/>
              </w:rPr>
              <w:t>Reliance on Judicial Order or Certificate of Liquidating Agent</w:t>
            </w: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1611.</w:t>
            </w:r>
          </w:p>
        </w:tc>
        <w:tc>
          <w:tcPr>
            <w:tcW w:w="8440" w:type="dxa"/>
            <w:vAlign w:val="bottom"/>
          </w:tcPr>
          <w:p>
            <w:pPr>
              <w:ind w:left="280"/>
              <w:spacing w:after="0"/>
              <w:rPr>
                <w:sz w:val="20"/>
                <w:szCs w:val="20"/>
                <w:color w:val="auto"/>
              </w:rPr>
            </w:pPr>
            <w:r>
              <w:rPr>
                <w:rFonts w:ascii="Arial" w:cs="Arial" w:eastAsia="Arial" w:hAnsi="Arial"/>
                <w:sz w:val="18"/>
                <w:szCs w:val="18"/>
                <w:color w:val="auto"/>
              </w:rPr>
              <w:t>Trustee Not Fiduciary for Holders of Senior Indebtedness</w:t>
            </w: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1612.</w:t>
            </w:r>
          </w:p>
        </w:tc>
        <w:tc>
          <w:tcPr>
            <w:tcW w:w="8440" w:type="dxa"/>
            <w:vAlign w:val="bottom"/>
          </w:tcPr>
          <w:p>
            <w:pPr>
              <w:ind w:left="280"/>
              <w:spacing w:after="0"/>
              <w:rPr>
                <w:sz w:val="20"/>
                <w:szCs w:val="20"/>
                <w:color w:val="auto"/>
              </w:rPr>
            </w:pPr>
            <w:r>
              <w:rPr>
                <w:rFonts w:ascii="Arial" w:cs="Arial" w:eastAsia="Arial" w:hAnsi="Arial"/>
                <w:sz w:val="18"/>
                <w:szCs w:val="18"/>
                <w:color w:val="auto"/>
              </w:rPr>
              <w:t>Rights of Trustee as Holder of Senior Indebtedness; Preservation of Trustee’s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1613.</w:t>
            </w:r>
          </w:p>
        </w:tc>
        <w:tc>
          <w:tcPr>
            <w:tcW w:w="8440" w:type="dxa"/>
            <w:vAlign w:val="bottom"/>
          </w:tcPr>
          <w:p>
            <w:pPr>
              <w:ind w:left="280"/>
              <w:spacing w:after="0"/>
              <w:rPr>
                <w:sz w:val="20"/>
                <w:szCs w:val="20"/>
                <w:color w:val="auto"/>
              </w:rPr>
            </w:pPr>
            <w:r>
              <w:rPr>
                <w:rFonts w:ascii="Arial" w:cs="Arial" w:eastAsia="Arial" w:hAnsi="Arial"/>
                <w:sz w:val="18"/>
                <w:szCs w:val="18"/>
                <w:color w:val="auto"/>
              </w:rPr>
              <w:t>Article Applicable to Paying Agents</w:t>
            </w: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10320" w:type="dxa"/>
            <w:vAlign w:val="bottom"/>
            <w:gridSpan w:val="2"/>
          </w:tcPr>
          <w:p>
            <w:pPr>
              <w:spacing w:after="0"/>
              <w:rPr>
                <w:sz w:val="20"/>
                <w:szCs w:val="20"/>
                <w:color w:val="auto"/>
              </w:rPr>
            </w:pPr>
            <w:r>
              <w:rPr>
                <w:rFonts w:ascii="Arial" w:cs="Arial" w:eastAsia="Arial" w:hAnsi="Arial"/>
                <w:sz w:val="18"/>
                <w:szCs w:val="18"/>
                <w:color w:val="auto"/>
              </w:rPr>
              <w:t>ARTICLE SEVENTEEN - CONVERSION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18"/>
        </w:trPr>
        <w:tc>
          <w:tcPr>
            <w:tcW w:w="1880" w:type="dxa"/>
            <w:vAlign w:val="bottom"/>
          </w:tcPr>
          <w:p>
            <w:pPr>
              <w:ind w:left="400"/>
              <w:spacing w:after="0"/>
              <w:rPr>
                <w:sz w:val="20"/>
                <w:szCs w:val="20"/>
                <w:color w:val="auto"/>
              </w:rPr>
            </w:pPr>
            <w:r>
              <w:rPr>
                <w:rFonts w:ascii="Arial" w:cs="Arial" w:eastAsia="Arial" w:hAnsi="Arial"/>
                <w:sz w:val="18"/>
                <w:szCs w:val="18"/>
                <w:color w:val="auto"/>
              </w:rPr>
              <w:t>SECTION 1701.</w:t>
            </w:r>
          </w:p>
        </w:tc>
        <w:tc>
          <w:tcPr>
            <w:tcW w:w="8440" w:type="dxa"/>
            <w:vAlign w:val="bottom"/>
          </w:tcPr>
          <w:p>
            <w:pPr>
              <w:ind w:left="280"/>
              <w:spacing w:after="0"/>
              <w:rPr>
                <w:sz w:val="20"/>
                <w:szCs w:val="20"/>
                <w:color w:val="auto"/>
              </w:rPr>
            </w:pPr>
            <w:r>
              <w:rPr>
                <w:rFonts w:ascii="Arial" w:cs="Arial" w:eastAsia="Arial" w:hAnsi="Arial"/>
                <w:sz w:val="18"/>
                <w:szCs w:val="18"/>
                <w:color w:val="auto"/>
              </w:rPr>
              <w:t>Applicability of Article; Conversion Privilege and Conversion Price</w:t>
            </w: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1702.</w:t>
            </w:r>
          </w:p>
        </w:tc>
        <w:tc>
          <w:tcPr>
            <w:tcW w:w="8440" w:type="dxa"/>
            <w:vAlign w:val="bottom"/>
          </w:tcPr>
          <w:p>
            <w:pPr>
              <w:ind w:left="280"/>
              <w:spacing w:after="0"/>
              <w:rPr>
                <w:sz w:val="20"/>
                <w:szCs w:val="20"/>
                <w:color w:val="auto"/>
              </w:rPr>
            </w:pPr>
            <w:r>
              <w:rPr>
                <w:rFonts w:ascii="Arial" w:cs="Arial" w:eastAsia="Arial" w:hAnsi="Arial"/>
                <w:sz w:val="18"/>
                <w:szCs w:val="18"/>
                <w:color w:val="auto"/>
              </w:rPr>
              <w:t>Exercise of Conversion Privilege</w:t>
            </w: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1703.</w:t>
            </w:r>
          </w:p>
        </w:tc>
        <w:tc>
          <w:tcPr>
            <w:tcW w:w="8440" w:type="dxa"/>
            <w:vAlign w:val="bottom"/>
          </w:tcPr>
          <w:p>
            <w:pPr>
              <w:ind w:left="280"/>
              <w:spacing w:after="0"/>
              <w:rPr>
                <w:sz w:val="20"/>
                <w:szCs w:val="20"/>
                <w:color w:val="auto"/>
              </w:rPr>
            </w:pPr>
            <w:r>
              <w:rPr>
                <w:rFonts w:ascii="Arial" w:cs="Arial" w:eastAsia="Arial" w:hAnsi="Arial"/>
                <w:sz w:val="18"/>
                <w:szCs w:val="18"/>
                <w:color w:val="auto"/>
              </w:rPr>
              <w:t>Fractions of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1704.</w:t>
            </w:r>
          </w:p>
        </w:tc>
        <w:tc>
          <w:tcPr>
            <w:tcW w:w="8440" w:type="dxa"/>
            <w:vAlign w:val="bottom"/>
          </w:tcPr>
          <w:p>
            <w:pPr>
              <w:ind w:left="280"/>
              <w:spacing w:after="0"/>
              <w:rPr>
                <w:sz w:val="20"/>
                <w:szCs w:val="20"/>
                <w:color w:val="auto"/>
              </w:rPr>
            </w:pPr>
            <w:r>
              <w:rPr>
                <w:rFonts w:ascii="Arial" w:cs="Arial" w:eastAsia="Arial" w:hAnsi="Arial"/>
                <w:sz w:val="18"/>
                <w:szCs w:val="18"/>
                <w:color w:val="auto"/>
              </w:rPr>
              <w:t>Adjustment of Conversion Price</w:t>
            </w: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32"/>
        </w:trPr>
        <w:tc>
          <w:tcPr>
            <w:tcW w:w="1880" w:type="dxa"/>
            <w:vAlign w:val="bottom"/>
          </w:tcPr>
          <w:p>
            <w:pPr>
              <w:spacing w:after="0"/>
              <w:rPr>
                <w:sz w:val="24"/>
                <w:szCs w:val="24"/>
                <w:color w:val="auto"/>
              </w:rPr>
            </w:pPr>
          </w:p>
        </w:tc>
        <w:tc>
          <w:tcPr>
            <w:tcW w:w="8440" w:type="dxa"/>
            <w:vAlign w:val="bottom"/>
          </w:tcPr>
          <w:p>
            <w:pPr>
              <w:ind w:left="3760"/>
              <w:spacing w:after="0"/>
              <w:rPr>
                <w:sz w:val="20"/>
                <w:szCs w:val="20"/>
                <w:color w:val="auto"/>
              </w:rPr>
            </w:pPr>
            <w:r>
              <w:rPr>
                <w:rFonts w:ascii="Arial" w:cs="Arial" w:eastAsia="Arial" w:hAnsi="Arial"/>
                <w:sz w:val="18"/>
                <w:szCs w:val="18"/>
                <w:color w:val="auto"/>
              </w:rPr>
              <w:t>iv</w:t>
            </w:r>
          </w:p>
        </w:tc>
        <w:tc>
          <w:tcPr>
            <w:tcW w:w="1140" w:type="dxa"/>
            <w:vAlign w:val="bottom"/>
          </w:tcPr>
          <w:p>
            <w:pPr>
              <w:spacing w:after="0"/>
              <w:rPr>
                <w:sz w:val="24"/>
                <w:szCs w:val="24"/>
                <w:color w:val="auto"/>
              </w:rPr>
            </w:pPr>
          </w:p>
        </w:tc>
      </w:tr>
      <w:tr>
        <w:trPr>
          <w:trHeight w:val="132"/>
        </w:trPr>
        <w:tc>
          <w:tcPr>
            <w:tcW w:w="1880" w:type="dxa"/>
            <w:vAlign w:val="bottom"/>
            <w:tcBorders>
              <w:bottom w:val="single" w:sz="8" w:color="808080"/>
            </w:tcBorders>
          </w:tcPr>
          <w:p>
            <w:pPr>
              <w:spacing w:after="0"/>
              <w:rPr>
                <w:sz w:val="11"/>
                <w:szCs w:val="11"/>
                <w:color w:val="auto"/>
              </w:rPr>
            </w:pPr>
          </w:p>
        </w:tc>
        <w:tc>
          <w:tcPr>
            <w:tcW w:w="84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r>
      <w:tr>
        <w:trPr>
          <w:trHeight w:val="766"/>
        </w:trPr>
        <w:tc>
          <w:tcPr>
            <w:tcW w:w="1880" w:type="dxa"/>
            <w:vAlign w:val="bottom"/>
          </w:tcPr>
          <w:p>
            <w:pPr>
              <w:ind w:left="400"/>
              <w:spacing w:after="0"/>
              <w:rPr>
                <w:sz w:val="20"/>
                <w:szCs w:val="20"/>
                <w:color w:val="auto"/>
              </w:rPr>
            </w:pPr>
            <w:r>
              <w:rPr>
                <w:rFonts w:ascii="Arial" w:cs="Arial" w:eastAsia="Arial" w:hAnsi="Arial"/>
                <w:sz w:val="18"/>
                <w:szCs w:val="18"/>
                <w:color w:val="auto"/>
              </w:rPr>
              <w:t>SECTION 1705.</w:t>
            </w:r>
          </w:p>
        </w:tc>
        <w:tc>
          <w:tcPr>
            <w:tcW w:w="8440" w:type="dxa"/>
            <w:vAlign w:val="bottom"/>
          </w:tcPr>
          <w:p>
            <w:pPr>
              <w:ind w:left="280"/>
              <w:spacing w:after="0"/>
              <w:rPr>
                <w:sz w:val="20"/>
                <w:szCs w:val="20"/>
                <w:color w:val="auto"/>
              </w:rPr>
            </w:pPr>
            <w:r>
              <w:rPr>
                <w:rFonts w:ascii="Arial" w:cs="Arial" w:eastAsia="Arial" w:hAnsi="Arial"/>
                <w:sz w:val="18"/>
                <w:szCs w:val="18"/>
                <w:color w:val="auto"/>
              </w:rPr>
              <w:t>Notice of Adjustments of Conversion Price</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1706.</w:t>
            </w:r>
          </w:p>
        </w:tc>
        <w:tc>
          <w:tcPr>
            <w:tcW w:w="8440" w:type="dxa"/>
            <w:vAlign w:val="bottom"/>
          </w:tcPr>
          <w:p>
            <w:pPr>
              <w:ind w:left="280"/>
              <w:spacing w:after="0"/>
              <w:rPr>
                <w:sz w:val="20"/>
                <w:szCs w:val="20"/>
                <w:color w:val="auto"/>
              </w:rPr>
            </w:pPr>
            <w:r>
              <w:rPr>
                <w:rFonts w:ascii="Arial" w:cs="Arial" w:eastAsia="Arial" w:hAnsi="Arial"/>
                <w:sz w:val="18"/>
                <w:szCs w:val="18"/>
                <w:color w:val="auto"/>
              </w:rPr>
              <w:t>Notice of Certain Corporate Action</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1707.</w:t>
            </w:r>
          </w:p>
        </w:tc>
        <w:tc>
          <w:tcPr>
            <w:tcW w:w="8440" w:type="dxa"/>
            <w:vAlign w:val="bottom"/>
          </w:tcPr>
          <w:p>
            <w:pPr>
              <w:ind w:left="280"/>
              <w:spacing w:after="0"/>
              <w:rPr>
                <w:sz w:val="20"/>
                <w:szCs w:val="20"/>
                <w:color w:val="auto"/>
              </w:rPr>
            </w:pPr>
            <w:r>
              <w:rPr>
                <w:rFonts w:ascii="Arial" w:cs="Arial" w:eastAsia="Arial" w:hAnsi="Arial"/>
                <w:sz w:val="18"/>
                <w:szCs w:val="18"/>
                <w:color w:val="auto"/>
              </w:rPr>
              <w:t>Company to Reserve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1708.</w:t>
            </w:r>
          </w:p>
        </w:tc>
        <w:tc>
          <w:tcPr>
            <w:tcW w:w="8440" w:type="dxa"/>
            <w:vAlign w:val="bottom"/>
          </w:tcPr>
          <w:p>
            <w:pPr>
              <w:ind w:left="280"/>
              <w:spacing w:after="0"/>
              <w:rPr>
                <w:sz w:val="20"/>
                <w:szCs w:val="20"/>
                <w:color w:val="auto"/>
              </w:rPr>
            </w:pPr>
            <w:r>
              <w:rPr>
                <w:rFonts w:ascii="Arial" w:cs="Arial" w:eastAsia="Arial" w:hAnsi="Arial"/>
                <w:sz w:val="18"/>
                <w:szCs w:val="18"/>
                <w:color w:val="auto"/>
              </w:rPr>
              <w:t>Taxes on Conversion</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1709.</w:t>
            </w:r>
          </w:p>
        </w:tc>
        <w:tc>
          <w:tcPr>
            <w:tcW w:w="8440" w:type="dxa"/>
            <w:vAlign w:val="bottom"/>
          </w:tcPr>
          <w:p>
            <w:pPr>
              <w:ind w:left="280"/>
              <w:spacing w:after="0"/>
              <w:rPr>
                <w:sz w:val="20"/>
                <w:szCs w:val="20"/>
                <w:color w:val="auto"/>
              </w:rPr>
            </w:pPr>
            <w:r>
              <w:rPr>
                <w:rFonts w:ascii="Arial" w:cs="Arial" w:eastAsia="Arial" w:hAnsi="Arial"/>
                <w:sz w:val="18"/>
                <w:szCs w:val="18"/>
                <w:color w:val="auto"/>
              </w:rPr>
              <w:t>Covenants as to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1710.</w:t>
            </w:r>
          </w:p>
        </w:tc>
        <w:tc>
          <w:tcPr>
            <w:tcW w:w="8440" w:type="dxa"/>
            <w:vAlign w:val="bottom"/>
          </w:tcPr>
          <w:p>
            <w:pPr>
              <w:ind w:left="280"/>
              <w:spacing w:after="0"/>
              <w:rPr>
                <w:sz w:val="20"/>
                <w:szCs w:val="20"/>
                <w:color w:val="auto"/>
              </w:rPr>
            </w:pPr>
            <w:r>
              <w:rPr>
                <w:rFonts w:ascii="Arial" w:cs="Arial" w:eastAsia="Arial" w:hAnsi="Arial"/>
                <w:sz w:val="18"/>
                <w:szCs w:val="18"/>
                <w:color w:val="auto"/>
              </w:rPr>
              <w:t>Cancellation of Converted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1711.</w:t>
            </w:r>
          </w:p>
        </w:tc>
        <w:tc>
          <w:tcPr>
            <w:tcW w:w="8440" w:type="dxa"/>
            <w:vAlign w:val="bottom"/>
          </w:tcPr>
          <w:p>
            <w:pPr>
              <w:ind w:left="280"/>
              <w:spacing w:after="0"/>
              <w:rPr>
                <w:sz w:val="20"/>
                <w:szCs w:val="20"/>
                <w:color w:val="auto"/>
              </w:rPr>
            </w:pPr>
            <w:r>
              <w:rPr>
                <w:rFonts w:ascii="Arial" w:cs="Arial" w:eastAsia="Arial" w:hAnsi="Arial"/>
                <w:sz w:val="18"/>
                <w:szCs w:val="18"/>
                <w:color w:val="auto"/>
              </w:rPr>
              <w:t>Provisions in Case of Consolidation, Merger or Sale of Assets; Special Distributions</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1712.</w:t>
            </w:r>
          </w:p>
        </w:tc>
        <w:tc>
          <w:tcPr>
            <w:tcW w:w="8440" w:type="dxa"/>
            <w:vAlign w:val="bottom"/>
          </w:tcPr>
          <w:p>
            <w:pPr>
              <w:ind w:left="280"/>
              <w:spacing w:after="0"/>
              <w:rPr>
                <w:sz w:val="20"/>
                <w:szCs w:val="20"/>
                <w:color w:val="auto"/>
              </w:rPr>
            </w:pPr>
            <w:r>
              <w:rPr>
                <w:rFonts w:ascii="Arial" w:cs="Arial" w:eastAsia="Arial" w:hAnsi="Arial"/>
                <w:sz w:val="18"/>
                <w:szCs w:val="18"/>
                <w:color w:val="auto"/>
              </w:rPr>
              <w:t>Trustee Adjustment Disclaimer; Company Determination Final</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880" w:type="dxa"/>
            <w:vAlign w:val="bottom"/>
          </w:tcPr>
          <w:p>
            <w:pPr>
              <w:ind w:left="400"/>
              <w:spacing w:after="0"/>
              <w:rPr>
                <w:sz w:val="20"/>
                <w:szCs w:val="20"/>
                <w:color w:val="auto"/>
              </w:rPr>
            </w:pPr>
            <w:r>
              <w:rPr>
                <w:rFonts w:ascii="Arial" w:cs="Arial" w:eastAsia="Arial" w:hAnsi="Arial"/>
                <w:sz w:val="18"/>
                <w:szCs w:val="18"/>
                <w:color w:val="auto"/>
              </w:rPr>
              <w:t>SECTION 1713.</w:t>
            </w:r>
          </w:p>
        </w:tc>
        <w:tc>
          <w:tcPr>
            <w:tcW w:w="8440" w:type="dxa"/>
            <w:vAlign w:val="bottom"/>
          </w:tcPr>
          <w:p>
            <w:pPr>
              <w:ind w:left="280"/>
              <w:spacing w:after="0"/>
              <w:rPr>
                <w:sz w:val="20"/>
                <w:szCs w:val="20"/>
                <w:color w:val="auto"/>
              </w:rPr>
            </w:pPr>
            <w:r>
              <w:rPr>
                <w:rFonts w:ascii="Arial" w:cs="Arial" w:eastAsia="Arial" w:hAnsi="Arial"/>
                <w:sz w:val="18"/>
                <w:szCs w:val="18"/>
                <w:color w:val="auto"/>
              </w:rPr>
              <w:t>When No Adjustment Required</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1880" w:type="dxa"/>
            <w:vAlign w:val="bottom"/>
          </w:tcPr>
          <w:p>
            <w:pPr>
              <w:ind w:left="400"/>
              <w:spacing w:after="0"/>
              <w:rPr>
                <w:sz w:val="20"/>
                <w:szCs w:val="20"/>
                <w:color w:val="auto"/>
              </w:rPr>
            </w:pPr>
            <w:r>
              <w:rPr>
                <w:rFonts w:ascii="Arial" w:cs="Arial" w:eastAsia="Arial" w:hAnsi="Arial"/>
                <w:sz w:val="18"/>
                <w:szCs w:val="18"/>
                <w:color w:val="auto"/>
              </w:rPr>
              <w:t>SECTION 1714.</w:t>
            </w:r>
          </w:p>
        </w:tc>
        <w:tc>
          <w:tcPr>
            <w:tcW w:w="8440" w:type="dxa"/>
            <w:vAlign w:val="bottom"/>
          </w:tcPr>
          <w:p>
            <w:pPr>
              <w:ind w:left="280"/>
              <w:spacing w:after="0"/>
              <w:rPr>
                <w:sz w:val="20"/>
                <w:szCs w:val="20"/>
                <w:color w:val="auto"/>
              </w:rPr>
            </w:pPr>
            <w:r>
              <w:rPr>
                <w:rFonts w:ascii="Arial" w:cs="Arial" w:eastAsia="Arial" w:hAnsi="Arial"/>
                <w:sz w:val="18"/>
                <w:szCs w:val="18"/>
                <w:color w:val="auto"/>
              </w:rPr>
              <w:t>Equivalent Adjustments</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-8251190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-8251190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-1759585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-1759585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ESPERION THERAPEUTICS, INC.</w:t>
      </w:r>
    </w:p>
    <w:p>
      <w:pPr>
        <w:spacing w:after="0" w:line="225" w:lineRule="exact"/>
        <w:rPr>
          <w:sz w:val="20"/>
          <w:szCs w:val="20"/>
          <w:color w:val="auto"/>
        </w:rPr>
      </w:pPr>
    </w:p>
    <w:p>
      <w:pPr>
        <w:ind w:left="720" w:right="620" w:hanging="278"/>
        <w:spacing w:after="0" w:line="277" w:lineRule="auto"/>
        <w:rPr>
          <w:sz w:val="20"/>
          <w:szCs w:val="20"/>
          <w:color w:val="auto"/>
        </w:rPr>
      </w:pPr>
      <w:r>
        <w:rPr>
          <w:rFonts w:ascii="Arial" w:cs="Arial" w:eastAsia="Arial" w:hAnsi="Arial"/>
          <w:sz w:val="18"/>
          <w:szCs w:val="18"/>
          <w:color w:val="auto"/>
        </w:rPr>
        <w:t>Reconciliation and tie between the Trust Indenture Act of 1939, as amended (the “Trust Indenture Act” or “TIA”) and the Indenture, dated as of , 20 .</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Trust Indenture Act Section</w:t>
            </w:r>
          </w:p>
        </w:tc>
        <w:tc>
          <w:tcPr>
            <w:tcW w:w="5620" w:type="dxa"/>
            <w:vAlign w:val="bottom"/>
            <w:gridSpan w:val="2"/>
          </w:tcPr>
          <w:p>
            <w:pPr>
              <w:ind w:left="2260"/>
              <w:spacing w:after="0"/>
              <w:rPr>
                <w:sz w:val="20"/>
                <w:szCs w:val="20"/>
                <w:color w:val="auto"/>
              </w:rPr>
            </w:pPr>
            <w:r>
              <w:rPr>
                <w:rFonts w:ascii="Arial" w:cs="Arial" w:eastAsia="Arial" w:hAnsi="Arial"/>
                <w:sz w:val="14"/>
                <w:szCs w:val="14"/>
                <w:b w:val="1"/>
                <w:bCs w:val="1"/>
                <w:color w:val="auto"/>
              </w:rPr>
              <w:t>Indenture Section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310(a)(1)</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(a)(2)</w:t>
            </w:r>
          </w:p>
        </w:tc>
        <w:tc>
          <w:tcPr>
            <w:tcW w:w="5600" w:type="dxa"/>
            <w:vAlign w:val="bottom"/>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607, 608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 312(c)</w:t>
            </w:r>
          </w:p>
        </w:tc>
        <w:tc>
          <w:tcPr>
            <w:tcW w:w="560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313(a)</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w:t>
            </w:r>
          </w:p>
        </w:tc>
        <w:tc>
          <w:tcPr>
            <w:tcW w:w="5600" w:type="dxa"/>
            <w:vAlign w:val="bottom"/>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314(a)</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(a)(4)</w:t>
            </w:r>
          </w:p>
        </w:tc>
        <w:tc>
          <w:tcPr>
            <w:tcW w:w="5600" w:type="dxa"/>
            <w:vAlign w:val="bottom"/>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(c)(1)</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(c)(2)</w:t>
            </w:r>
          </w:p>
        </w:tc>
        <w:tc>
          <w:tcPr>
            <w:tcW w:w="56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 315(b)</w:t>
            </w:r>
          </w:p>
        </w:tc>
        <w:tc>
          <w:tcPr>
            <w:tcW w:w="5600" w:type="dxa"/>
            <w:vAlign w:val="bottom"/>
          </w:tcPr>
          <w:p>
            <w:pPr>
              <w:jc w:val="right"/>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316(a) (last sentence)</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101(“Outstanding”)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(a)(1)(A)</w:t>
            </w:r>
          </w:p>
        </w:tc>
        <w:tc>
          <w:tcPr>
            <w:tcW w:w="5600" w:type="dxa"/>
            <w:vAlign w:val="bottom"/>
          </w:tcPr>
          <w:p>
            <w:pPr>
              <w:jc w:val="right"/>
              <w:spacing w:after="0"/>
              <w:rPr>
                <w:sz w:val="20"/>
                <w:szCs w:val="20"/>
                <w:color w:val="auto"/>
              </w:rPr>
            </w:pPr>
            <w:r>
              <w:rPr>
                <w:rFonts w:ascii="Arial" w:cs="Arial" w:eastAsia="Arial" w:hAnsi="Arial"/>
                <w:sz w:val="18"/>
                <w:szCs w:val="18"/>
                <w:color w:val="auto"/>
              </w:rPr>
              <w:t>502, 512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(a)(1)(B)</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(b)</w:t>
            </w:r>
          </w:p>
        </w:tc>
        <w:tc>
          <w:tcPr>
            <w:tcW w:w="5600" w:type="dxa"/>
            <w:vAlign w:val="bottom"/>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317(a)(1)</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(a)(2)</w:t>
            </w:r>
          </w:p>
        </w:tc>
        <w:tc>
          <w:tcPr>
            <w:tcW w:w="5600" w:type="dxa"/>
            <w:vAlign w:val="bottom"/>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318(a)</w:t>
            </w:r>
          </w:p>
        </w:tc>
        <w:tc>
          <w:tcPr>
            <w:tcW w:w="5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w:t>
            </w:r>
          </w:p>
        </w:tc>
        <w:tc>
          <w:tcPr>
            <w:tcW w:w="56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INDENTURE, dated as of , 20 , between ESPERION THERAPEUTICS, INC., a corporation organized under the laws of the State of Delaware (hereinafter called the “Company”), having its principal office at 3891 Ranchero Drive, Suite 150, Ann Arbor, MI 48108, and , as Trustee hereunder (hereinafter called the “Trustee”), having a Corporate Trust Office at .</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The Company deems it necessary to issue from time to time for its lawful purposes subordinated debt securities (hereinafter called the “Securities”) evidencing its unsecured and subordinated indebtedness, and has duly authorized the execution and delivery of this Indenture to provide for the issuance from time to time of the Securities, to be issued in one or more Series as provided in this Indenture.</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things necessary to make this Indenture a valid and legally binding agreement of the Company, in accordance with its terms, have been done.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ONE - DEFINITIONS AND OTHER PROVISIONS OF GENERAL APPLICATION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For all purposes of this Indenture, except as otherwise expressly provided or unless the context otherwise requires:</w:t>
      </w:r>
    </w:p>
    <w:p>
      <w:pPr>
        <w:spacing w:after="0" w:line="237" w:lineRule="exact"/>
        <w:rPr>
          <w:sz w:val="20"/>
          <w:szCs w:val="20"/>
          <w:color w:val="auto"/>
        </w:rPr>
      </w:pPr>
    </w:p>
    <w:p>
      <w:pPr>
        <w:ind w:left="1140" w:hanging="251"/>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225" w:lineRule="exact"/>
        <w:rPr>
          <w:rFonts w:ascii="Arial" w:cs="Arial" w:eastAsia="Arial" w:hAnsi="Arial"/>
          <w:sz w:val="18"/>
          <w:szCs w:val="18"/>
          <w:color w:val="auto"/>
        </w:rPr>
      </w:pPr>
    </w:p>
    <w:p>
      <w:pPr>
        <w:ind w:left="440" w:right="120" w:firstLine="449"/>
        <w:spacing w:after="0" w:line="264" w:lineRule="auto"/>
        <w:tabs>
          <w:tab w:leader="none" w:pos="11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181" w:lineRule="exact"/>
        <w:rPr>
          <w:rFonts w:ascii="Arial" w:cs="Arial" w:eastAsia="Arial" w:hAnsi="Arial"/>
          <w:sz w:val="18"/>
          <w:szCs w:val="18"/>
          <w:color w:val="auto"/>
        </w:rPr>
      </w:pPr>
    </w:p>
    <w:p>
      <w:pPr>
        <w:ind w:left="1140" w:hanging="251"/>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reference to an “Article” or a “Section” refers to an Article or Section, as the case may be, of this Indenture; and</w:t>
      </w:r>
    </w:p>
    <w:p>
      <w:pPr>
        <w:spacing w:after="0" w:line="225" w:lineRule="exact"/>
        <w:rPr>
          <w:rFonts w:ascii="Arial" w:cs="Arial" w:eastAsia="Arial" w:hAnsi="Arial"/>
          <w:sz w:val="18"/>
          <w:szCs w:val="18"/>
          <w:color w:val="auto"/>
        </w:rPr>
      </w:pPr>
    </w:p>
    <w:p>
      <w:pPr>
        <w:ind w:left="440" w:right="280" w:firstLine="449"/>
        <w:spacing w:after="0" w:line="277" w:lineRule="auto"/>
        <w:tabs>
          <w:tab w:leader="none" w:pos="11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ectPr>
          <w:pgSz w:w="11900" w:h="16838" w:orient="portrait"/>
          <w:cols w:equalWidth="0" w:num="1">
            <w:col w:w="11420"/>
          </w:cols>
          <w:pgMar w:left="240" w:top="584" w:right="239" w:bottom="0" w:gutter="0" w:footer="0" w:header="0"/>
        </w:sectPr>
      </w:pPr>
    </w:p>
    <w:bookmarkStart w:id="100" w:name="page101"/>
    <w:bookmarkEnd w:id="100"/>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Trustee pursuant to Section 611 hereof to act on behalf of the Trustee to authenticate Securities of one or more Series.</w:t>
      </w:r>
    </w:p>
    <w:p>
      <w:pPr>
        <w:spacing w:after="0" w:line="170"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Newspaper</w:t>
      </w:r>
      <w:r>
        <w:rPr>
          <w:rFonts w:ascii="Arial" w:cs="Arial" w:eastAsia="Arial" w:hAnsi="Arial"/>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established pursuant to Section 201 which is payable to the bearer.</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8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Resolution</w:t>
      </w:r>
      <w:r>
        <w:rPr>
          <w:rFonts w:ascii="Arial" w:cs="Arial" w:eastAsia="Arial" w:hAnsi="Arial"/>
          <w:sz w:val="17"/>
          <w:szCs w:val="17"/>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7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7"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Luxembourg, société anonyme, or its successor.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the closing price of a share of Common Stock of the Company as reported on the NASDAQ Global Market.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regulations thereunder.</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Depository</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with respect to any Person, all shares of capital stock issued by such Person other than Preferred Stock.</w:t>
      </w:r>
    </w:p>
    <w:p>
      <w:pPr>
        <w:spacing w:after="0" w:line="225"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4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its Chief Executive Officer, the President, or a Vice President, and by its Treasurer, an Assistant Treasurer, the Secretary or an Assistant Secretary, of the Company, and delivered to the Trustee.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Person</w:t>
      </w:r>
      <w:r>
        <w:rPr>
          <w:rFonts w:ascii="Arial" w:cs="Arial" w:eastAsia="Arial" w:hAnsi="Arial"/>
          <w:sz w:val="18"/>
          <w:szCs w:val="18"/>
          <w:color w:val="auto"/>
        </w:rPr>
        <w:t>” has the meaning specified in Section 1711.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has the meaning specified in Section 1701.</w:t>
      </w:r>
    </w:p>
    <w:p>
      <w:pPr>
        <w:sectPr>
          <w:pgSz w:w="11900" w:h="16847" w:orient="portrait"/>
          <w:cols w:equalWidth="0" w:num="1">
            <w:col w:w="11380"/>
          </w:cols>
          <w:pgMar w:left="240" w:top="125" w:right="279" w:bottom="0" w:gutter="0" w:footer="0" w:header="0"/>
        </w:sectPr>
      </w:pPr>
    </w:p>
    <w:bookmarkStart w:id="101" w:name="page102"/>
    <w:bookmarkEnd w:id="101"/>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means the office of the Trustee at which, at any particular time, its corporate trust business shall be principally administered,</w:t>
      </w:r>
    </w:p>
    <w:p>
      <w:pPr>
        <w:spacing w:after="0" w:line="46"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color w:val="auto"/>
        </w:rPr>
        <w:t>which office at the date hereof is located at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coupon</w:t>
      </w:r>
      <w:r>
        <w:rPr>
          <w:rFonts w:ascii="Arial" w:cs="Arial" w:eastAsia="Arial" w:hAnsi="Arial"/>
          <w:sz w:val="18"/>
          <w:szCs w:val="18"/>
          <w:color w:val="auto"/>
        </w:rPr>
        <w:t>” means any interest coupon appertaining to a Bearer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Defeasance</w:t>
      </w:r>
      <w:r>
        <w:rPr>
          <w:rFonts w:ascii="Arial" w:cs="Arial" w:eastAsia="Arial" w:hAnsi="Arial"/>
          <w:sz w:val="18"/>
          <w:szCs w:val="18"/>
          <w:color w:val="auto"/>
        </w:rPr>
        <w:t>” has the meaning specified in Section 1402.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Record Date</w:t>
      </w:r>
      <w:r>
        <w:rPr>
          <w:rFonts w:ascii="Arial" w:cs="Arial" w:eastAsia="Arial" w:hAnsi="Arial"/>
          <w:sz w:val="18"/>
          <w:szCs w:val="18"/>
          <w:color w:val="auto"/>
        </w:rPr>
        <w:t>” has the meaning specified in Section 1711.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the sign “</w:t>
      </w:r>
      <w:r>
        <w:rPr>
          <w:rFonts w:ascii="Arial" w:cs="Arial" w:eastAsia="Arial" w:hAnsi="Arial"/>
          <w:sz w:val="18"/>
          <w:szCs w:val="18"/>
          <w:u w:val="single" w:color="auto"/>
          <w:color w:val="auto"/>
        </w:rPr>
        <w:t>$</w:t>
      </w:r>
      <w:r>
        <w:rPr>
          <w:rFonts w:ascii="Arial" w:cs="Arial" w:eastAsia="Arial" w:hAnsi="Arial"/>
          <w:sz w:val="18"/>
          <w:szCs w:val="18"/>
          <w:color w:val="auto"/>
        </w:rPr>
        <w:t>” means a dollar or other equivalent unit in such coin or currency of the United States of America as at the time of payment is legal tender for the payment of public and private debts.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ECU</w:t>
      </w:r>
      <w:r>
        <w:rPr>
          <w:rFonts w:ascii="Arial" w:cs="Arial" w:eastAsia="Arial" w:hAnsi="Arial"/>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the operator of the Euroclear System.</w:t>
      </w:r>
    </w:p>
    <w:p>
      <w:pPr>
        <w:spacing w:after="0" w:line="22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Communities</w:t>
      </w:r>
      <w:r>
        <w:rPr>
          <w:rFonts w:ascii="Arial" w:cs="Arial" w:eastAsia="Arial" w:hAnsi="Arial"/>
          <w:sz w:val="18"/>
          <w:szCs w:val="18"/>
          <w:color w:val="auto"/>
        </w:rPr>
        <w:t>” means the European Economic Community, the European Coal and Steel Community and the European Atomic Energy Community.</w:t>
      </w:r>
    </w:p>
    <w:p>
      <w:pPr>
        <w:spacing w:after="0" w:line="170"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Article Five.</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 as in force at the date as of which this Indenture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Exchange Act is amended after such date, “Exchange Act” means to the extent required by any such amendment, the Exchange Act as so amended.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has the meaning specified in Section 304.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Currency</w:t>
      </w:r>
      <w:r>
        <w:rPr>
          <w:rFonts w:ascii="Arial" w:cs="Arial" w:eastAsia="Arial" w:hAnsi="Arial"/>
          <w:sz w:val="17"/>
          <w:szCs w:val="17"/>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47"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except as otherwise provided herein, generally accepted accounting principles, as in effect from time to time, as used in the United States applied on a consistent basis.</w:t>
      </w:r>
    </w:p>
    <w:p>
      <w:pPr>
        <w:spacing w:after="0" w:line="170"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8"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w:t>
      </w:r>
      <w:r>
        <w:rPr>
          <w:rFonts w:ascii="Arial" w:cs="Arial" w:eastAsia="Arial" w:hAnsi="Arial"/>
          <w:sz w:val="16"/>
          <w:szCs w:val="16"/>
          <w:color w:val="auto"/>
        </w:rPr>
        <w:t xml:space="preserve">” by any Person means any Obligation, contingent or otherwise, of such Person guaranteeing any Indebtedness of any other Person (the “primary obligor”) in any manner, whether directly or indirectly, and including, without limitation, every Obligation of such Person (i) to purchase or pay (or advance or supply funds for the purchase or payment of) such Indebtedness or to purchase (or to advance or supply funds for the purchase of) any security for the payment of such Indebtedness, (ii) to purchase property, securities or services for the purpose of assuring the holder of such Indebtedness of the payment of such Indebtedness or (iii) to maintain working capital, equity capital or other financial statement condition or liquidity of the primary obligor so as to enable the primary obligor to pay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Guaranty by any Person shall not include endorsements by such Person for</w:t>
      </w:r>
    </w:p>
    <w:p>
      <w:pPr>
        <w:sectPr>
          <w:pgSz w:w="11900" w:h="16838" w:orient="portrait"/>
          <w:cols w:equalWidth="0" w:num="1">
            <w:col w:w="11400"/>
          </w:cols>
          <w:pgMar w:left="240" w:top="341" w:right="259" w:bottom="0" w:gutter="0" w:footer="0" w:header="0"/>
        </w:sectPr>
      </w:pPr>
    </w:p>
    <w:bookmarkStart w:id="102" w:name="page103"/>
    <w:bookmarkEnd w:id="102"/>
    <w:p>
      <w:pPr>
        <w:ind w:right="620"/>
        <w:spacing w:after="0" w:line="277" w:lineRule="auto"/>
        <w:rPr>
          <w:sz w:val="20"/>
          <w:szCs w:val="20"/>
          <w:color w:val="auto"/>
        </w:rPr>
      </w:pPr>
      <w:r>
        <w:rPr>
          <w:rFonts w:ascii="Arial" w:cs="Arial" w:eastAsia="Arial" w:hAnsi="Arial"/>
          <w:sz w:val="18"/>
          <w:szCs w:val="18"/>
          <w:color w:val="auto"/>
        </w:rPr>
        <w:t>collection or deposit, in either case in the ordinary course of business. The terms “</w:t>
      </w:r>
      <w:r>
        <w:rPr>
          <w:rFonts w:ascii="Arial" w:cs="Arial" w:eastAsia="Arial" w:hAnsi="Arial"/>
          <w:sz w:val="18"/>
          <w:szCs w:val="18"/>
          <w:u w:val="single" w:color="auto"/>
          <w:color w:val="auto"/>
        </w:rPr>
        <w:t>Guaranteed</w:t>
      </w:r>
      <w:r>
        <w:rPr>
          <w:rFonts w:ascii="Arial" w:cs="Arial" w:eastAsia="Arial" w:hAnsi="Arial"/>
          <w:sz w:val="18"/>
          <w:szCs w:val="18"/>
          <w:color w:val="auto"/>
        </w:rPr>
        <w:t>,” “</w:t>
      </w:r>
      <w:r>
        <w:rPr>
          <w:rFonts w:ascii="Arial" w:cs="Arial" w:eastAsia="Arial" w:hAnsi="Arial"/>
          <w:sz w:val="18"/>
          <w:szCs w:val="18"/>
          <w:u w:val="single" w:color="auto"/>
          <w:color w:val="auto"/>
        </w:rPr>
        <w:t>Guaranteeing</w:t>
      </w:r>
      <w:r>
        <w:rPr>
          <w:rFonts w:ascii="Arial" w:cs="Arial" w:eastAsia="Arial" w:hAnsi="Arial"/>
          <w:sz w:val="18"/>
          <w:szCs w:val="18"/>
          <w:color w:val="auto"/>
        </w:rPr>
        <w:t>” and “</w:t>
      </w:r>
      <w:r>
        <w:rPr>
          <w:rFonts w:ascii="Arial" w:cs="Arial" w:eastAsia="Arial" w:hAnsi="Arial"/>
          <w:sz w:val="18"/>
          <w:szCs w:val="18"/>
          <w:u w:val="single" w:color="auto"/>
          <w:color w:val="auto"/>
        </w:rPr>
        <w:t>Guarantor</w:t>
      </w:r>
      <w:r>
        <w:rPr>
          <w:rFonts w:ascii="Arial" w:cs="Arial" w:eastAsia="Arial" w:hAnsi="Arial"/>
          <w:sz w:val="18"/>
          <w:szCs w:val="18"/>
          <w:color w:val="auto"/>
        </w:rPr>
        <w:t>” shall have meanings correlative to the foregoing.</w:t>
      </w:r>
    </w:p>
    <w:p>
      <w:pPr>
        <w:spacing w:after="0" w:line="170"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without duplication, (i) any Obligation of such Person relating to any indebtedness of such Person</w:t>
      </w:r>
    </w:p>
    <w:p>
      <w:pPr>
        <w:spacing w:after="0" w:line="46" w:lineRule="exact"/>
        <w:rPr>
          <w:sz w:val="20"/>
          <w:szCs w:val="20"/>
          <w:color w:val="auto"/>
        </w:rPr>
      </w:pPr>
    </w:p>
    <w:p>
      <w:pPr>
        <w:ind w:right="60" w:firstLine="8"/>
        <w:spacing w:after="0" w:line="281" w:lineRule="auto"/>
        <w:tabs>
          <w:tab w:leader="none" w:pos="29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for borrowed money (whether or not the recourse of the lender is to the whole of the assets, of such person or only to a portion thereof), (B) evidenced by notes, debentures or similar instruments (including purchase money obligations) given in connection with the acquisition of any property or assets (other than trade accounts payable for inventory or similar property acquired in the ordinary course of business), including securities, for the payment of which such Person is liable, directly or indirectly, or the payment of which is secured by a lien, charge or encumbrance on property or assets of such Person, (C) for goods, materials or services purchased in the ordinary course of business (other than trade accounts payable arising in the ordinary course of business),</w:t>
      </w:r>
    </w:p>
    <w:p>
      <w:pPr>
        <w:spacing w:after="0" w:line="3" w:lineRule="exact"/>
        <w:rPr>
          <w:rFonts w:ascii="Arial" w:cs="Arial" w:eastAsia="Arial" w:hAnsi="Arial"/>
          <w:sz w:val="16"/>
          <w:szCs w:val="16"/>
          <w:color w:val="auto"/>
        </w:rPr>
      </w:pPr>
    </w:p>
    <w:p>
      <w:pPr>
        <w:ind w:right="100" w:firstLine="8"/>
        <w:spacing w:after="0" w:line="253" w:lineRule="auto"/>
        <w:tabs>
          <w:tab w:leader="none" w:pos="2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with respect to letters of credit or bankers acceptances issued for the account of such Person or performance, surety or similar bonds, (E) for the payment of money relating to a capitalized lease Obligation or (F) under interest rate swaps, caps or similar agreements and foreign exchange contracts, currency swaps or similar agreements; (ii) any liability of others of the kind described in the preceding clause (i), which such Person has Guaranteed or which is otherwise its legal liability; and (iii) any and all deferrals, renewals, extensions and refunding of, or amendments, modifications or supplements to, any liability of the kind described in any of the preceding clauses (i) or (ii).</w:t>
      </w:r>
    </w:p>
    <w:p>
      <w:pPr>
        <w:spacing w:after="0" w:line="19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8"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shall mean interest payable after Maturity.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Amount</w:t>
      </w:r>
      <w:r>
        <w:rPr>
          <w:rFonts w:ascii="Arial" w:cs="Arial" w:eastAsia="Arial" w:hAnsi="Arial"/>
          <w:sz w:val="17"/>
          <w:szCs w:val="17"/>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 of the Distribution</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7"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w:t>
      </w:r>
      <w:r>
        <w:rPr>
          <w:rFonts w:ascii="Arial" w:cs="Arial" w:eastAsia="Arial" w:hAnsi="Arial"/>
          <w:sz w:val="18"/>
          <w:szCs w:val="18"/>
          <w:color w:val="auto"/>
        </w:rPr>
        <w:t>” of any Person with respect to any specified Indebtedness means any obligation of such Person to pay principal, premium, interest (including interest accruing on or after the filing of any petition in bankruptcy or for reorganization relating to such Person, whether or not a claim for such post-petition interest is allowed in such proceeding), penalties, reimbursement or indemnification amounts, fees, expenses or other amounts relating to such Indebtedness.</w:t>
      </w:r>
    </w:p>
    <w:p>
      <w:pPr>
        <w:spacing w:after="0" w:line="187" w:lineRule="exact"/>
        <w:rPr>
          <w:sz w:val="20"/>
          <w:szCs w:val="20"/>
          <w:color w:val="auto"/>
        </w:rPr>
      </w:pPr>
    </w:p>
    <w:p>
      <w:pPr>
        <w:jc w:val="both"/>
        <w:ind w:right="5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sinking fund payment</w:t>
      </w:r>
      <w:r>
        <w:rPr>
          <w:rFonts w:ascii="Arial" w:cs="Arial" w:eastAsia="Arial" w:hAnsi="Arial"/>
          <w:sz w:val="18"/>
          <w:szCs w:val="18"/>
          <w:color w:val="auto"/>
        </w:rPr>
        <w:t>” has the meaning specified in Section 1201.</w:t>
      </w:r>
    </w:p>
    <w:p>
      <w:pPr>
        <w:spacing w:after="0" w:line="225" w:lineRule="exact"/>
        <w:rPr>
          <w:sz w:val="20"/>
          <w:szCs w:val="20"/>
          <w:color w:val="auto"/>
        </w:rPr>
      </w:pPr>
    </w:p>
    <w:p>
      <w:pPr>
        <w:ind w:right="5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xml:space="preserve">,” when used with respect to Securities, means, as of the date of determination, all Securities theretofore authenticated and delivered under this Indenture,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103" w:name="page104"/>
    <w:bookmarkEnd w:id="103"/>
    <w:p>
      <w:pPr>
        <w:spacing w:after="0" w:line="90" w:lineRule="exact"/>
        <w:rPr>
          <w:sz w:val="20"/>
          <w:szCs w:val="20"/>
          <w:color w:val="auto"/>
        </w:rPr>
      </w:pPr>
    </w:p>
    <w:p>
      <w:pPr>
        <w:ind w:left="5660" w:right="3440" w:hanging="4330"/>
        <w:spacing w:after="0" w:line="528" w:lineRule="auto"/>
        <w:tabs>
          <w:tab w:leader="none" w:pos="153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 5</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880" w:right="240" w:firstLine="450"/>
        <w:spacing w:after="0" w:line="257" w:lineRule="auto"/>
        <w:tabs>
          <w:tab w:leader="none" w:pos="158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Securities are to be redeemed, notice of such redemption has been duly given pursuant to this Indenture or provision therefor satisfactory to the Trustee has been made;</w:t>
      </w:r>
    </w:p>
    <w:p>
      <w:pPr>
        <w:spacing w:after="0" w:line="188" w:lineRule="exact"/>
        <w:rPr>
          <w:rFonts w:ascii="Arial" w:cs="Arial" w:eastAsia="Arial" w:hAnsi="Arial"/>
          <w:sz w:val="18"/>
          <w:szCs w:val="18"/>
          <w:color w:val="auto"/>
        </w:rPr>
      </w:pPr>
    </w:p>
    <w:p>
      <w:pPr>
        <w:ind w:left="880" w:firstLine="450"/>
        <w:spacing w:after="0" w:line="277" w:lineRule="auto"/>
        <w:tabs>
          <w:tab w:leader="none" w:pos="163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170" w:lineRule="exact"/>
        <w:rPr>
          <w:rFonts w:ascii="Arial" w:cs="Arial" w:eastAsia="Arial" w:hAnsi="Arial"/>
          <w:sz w:val="18"/>
          <w:szCs w:val="18"/>
          <w:color w:val="auto"/>
        </w:rPr>
      </w:pPr>
    </w:p>
    <w:p>
      <w:pPr>
        <w:ind w:left="880" w:right="40" w:firstLine="450"/>
        <w:spacing w:after="0" w:line="312" w:lineRule="auto"/>
        <w:tabs>
          <w:tab w:leader="none" w:pos="162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-2068830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73"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(and premium or Make-Whole Amount, if any) or interest on any Securities or coupons on behalf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Blockage Notice</w:t>
      </w:r>
      <w:r>
        <w:rPr>
          <w:rFonts w:ascii="Arial" w:cs="Arial" w:eastAsia="Arial" w:hAnsi="Arial"/>
          <w:sz w:val="18"/>
          <w:szCs w:val="18"/>
          <w:color w:val="auto"/>
        </w:rPr>
        <w:t>” and “</w:t>
      </w:r>
      <w:r>
        <w:rPr>
          <w:rFonts w:ascii="Arial" w:cs="Arial" w:eastAsia="Arial" w:hAnsi="Arial"/>
          <w:sz w:val="18"/>
          <w:szCs w:val="18"/>
          <w:u w:val="single" w:color="auto"/>
          <w:color w:val="auto"/>
        </w:rPr>
        <w:t>Payment Blockage Period</w:t>
      </w:r>
      <w:r>
        <w:rPr>
          <w:rFonts w:ascii="Arial" w:cs="Arial" w:eastAsia="Arial" w:hAnsi="Arial"/>
          <w:sz w:val="18"/>
          <w:szCs w:val="18"/>
          <w:color w:val="auto"/>
        </w:rPr>
        <w:t>” have the respective meanings specified in Section 1603.</w:t>
      </w:r>
    </w:p>
    <w:p>
      <w:pPr>
        <w:spacing w:after="0" w:line="225" w:lineRule="exact"/>
        <w:rPr>
          <w:sz w:val="20"/>
          <w:szCs w:val="20"/>
          <w:color w:val="auto"/>
        </w:rPr>
      </w:pPr>
    </w:p>
    <w:p>
      <w:pPr>
        <w:ind w:right="112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47"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Place of Payment</w:t>
      </w:r>
      <w:r>
        <w:rPr>
          <w:rFonts w:ascii="Arial" w:cs="Arial" w:eastAsia="Arial" w:hAnsi="Arial"/>
          <w:sz w:val="17"/>
          <w:szCs w:val="17"/>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47"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specified in Section 1602.</w:t>
      </w:r>
    </w:p>
    <w:p>
      <w:pPr>
        <w:spacing w:after="0" w:line="225"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ind w:right="88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Price</w:t>
      </w:r>
      <w:r>
        <w:rPr>
          <w:rFonts w:ascii="Arial" w:cs="Arial" w:eastAsia="Arial" w:hAnsi="Arial"/>
          <w:sz w:val="17"/>
          <w:szCs w:val="17"/>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shall mean any Security which is registered in the Security Register.</w:t>
      </w:r>
    </w:p>
    <w:p>
      <w:pPr>
        <w:spacing w:after="0" w:line="225"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ectPr>
          <w:pgSz w:w="11900" w:h="16929" w:orient="portrait"/>
          <w:cols w:equalWidth="0" w:num="1">
            <w:col w:w="11420"/>
          </w:cols>
          <w:pgMar w:left="240" w:top="125" w:right="239" w:bottom="0" w:gutter="0" w:footer="0" w:header="0"/>
        </w:sectPr>
      </w:pPr>
    </w:p>
    <w:bookmarkStart w:id="104" w:name="page105"/>
    <w:bookmarkEnd w:id="104"/>
    <w:p>
      <w:pPr>
        <w:ind w:right="4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the date fixed for such repayment by or pursuant to this Indenture.</w:t>
      </w:r>
    </w:p>
    <w:p>
      <w:pPr>
        <w:spacing w:after="0" w:line="170"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the price at which it is to be repaid by or pursuant to this Indenture.</w:t>
      </w:r>
    </w:p>
    <w:p>
      <w:pPr>
        <w:spacing w:after="0" w:line="170"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Record Date</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Payment</w:t>
      </w:r>
      <w:r>
        <w:rPr>
          <w:rFonts w:ascii="Arial" w:cs="Arial" w:eastAsia="Arial" w:hAnsi="Arial"/>
          <w:sz w:val="18"/>
          <w:szCs w:val="18"/>
          <w:color w:val="auto"/>
        </w:rPr>
        <w:t>” has the meaning specified in Section 1602.</w:t>
      </w:r>
    </w:p>
    <w:p>
      <w:pPr>
        <w:spacing w:after="0" w:line="22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and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right="14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Indebtedness</w:t>
      </w:r>
      <w:r>
        <w:rPr>
          <w:rFonts w:ascii="Arial" w:cs="Arial" w:eastAsia="Arial" w:hAnsi="Arial"/>
          <w:sz w:val="16"/>
          <w:szCs w:val="16"/>
          <w:color w:val="auto"/>
        </w:rPr>
        <w:t xml:space="preserve">” means Indebtedness of the Company, whether outstanding on the date of this Indenture or thereafter created, incurred, assumed or guaranteed by the Company, other than the following: (1) any Indebtedness as to which, in the instrument evidencing such Indebtedness or pursuant to which such Indebtedness was issued, it is expressly provided that such Indebtedness is subordinate in right of payment to all Indebtedness of the Company not expressly subordinated to such Indebtedness; (2) any Indebtedness which by its terms refers explicitly to the Securities and states that such Indebtedness shall not be senior, shall be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or shall be subordinated in right of payment to the Securities; and (3) with respect to any series of Securities, any Indebtedness of the Company evidenced by Securities of the same or of another series. Notwithstanding anything to the contrary in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foregoing, Senior Indebtedness shall not include Indebtedness of or amounts owed by the Company for compensation to employees, or for goods, materials or services purchased in the ordinary course of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Series</w:t>
      </w:r>
      <w:r>
        <w:rPr>
          <w:rFonts w:ascii="Arial" w:cs="Arial" w:eastAsia="Arial" w:hAnsi="Arial"/>
          <w:sz w:val="17"/>
          <w:szCs w:val="17"/>
          <w:color w:val="auto"/>
        </w:rPr>
        <w:t>” of Securities means all securities denoted as part of the same series authorized by or pursuant to a particular Board Resolution.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Term Rights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Company pursuant to Section 307.</w:t>
      </w:r>
    </w:p>
    <w:p>
      <w:pPr>
        <w:spacing w:after="0" w:line="170"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NASDAQ Global Market is open for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Events</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and as in force at the date as of which this Indenture was executed, except as provided in Section 905.</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Distribution</w:t>
      </w:r>
      <w:r>
        <w:rPr>
          <w:rFonts w:ascii="Arial" w:cs="Arial" w:eastAsia="Arial" w:hAnsi="Arial"/>
          <w:sz w:val="18"/>
          <w:szCs w:val="18"/>
          <w:color w:val="auto"/>
        </w:rPr>
        <w:t>” has the meaning specified in Section 1704.</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81"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ectPr>
          <w:pgSz w:w="11900" w:h="16838" w:orient="portrait"/>
          <w:cols w:equalWidth="0" w:num="1">
            <w:col w:w="11400"/>
          </w:cols>
          <w:pgMar w:left="240" w:top="341" w:right="259" w:bottom="0" w:gutter="0" w:footer="0" w:header="0"/>
        </w:sectPr>
      </w:pPr>
    </w:p>
    <w:bookmarkStart w:id="105" w:name="page106"/>
    <w:bookmarkEnd w:id="105"/>
    <w:p>
      <w:pPr>
        <w:ind w:right="200" w:firstLine="441"/>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 and Opinions</w:t>
      </w:r>
      <w:r>
        <w:rPr>
          <w:rFonts w:ascii="Arial" w:cs="Arial" w:eastAsia="Arial" w:hAnsi="Arial"/>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93"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(including certificates delivered pursuant to Section 1008) shall include:</w:t>
      </w:r>
    </w:p>
    <w:p>
      <w:pPr>
        <w:spacing w:after="0" w:line="170" w:lineRule="exact"/>
        <w:rPr>
          <w:sz w:val="20"/>
          <w:szCs w:val="20"/>
          <w:color w:val="auto"/>
        </w:rPr>
      </w:pPr>
    </w:p>
    <w:p>
      <w:pPr>
        <w:ind w:left="1140" w:hanging="251"/>
        <w:spacing w:after="0"/>
        <w:tabs>
          <w:tab w:leader="none" w:pos="11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left="440" w:right="480" w:firstLine="449"/>
        <w:spacing w:after="0" w:line="277" w:lineRule="auto"/>
        <w:tabs>
          <w:tab w:leader="none" w:pos="11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560" w:firstLine="449"/>
        <w:spacing w:after="0" w:line="277" w:lineRule="auto"/>
        <w:tabs>
          <w:tab w:leader="none" w:pos="11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Form of Documents Delivered to Trustee</w:t>
      </w:r>
      <w:r>
        <w:rPr>
          <w:rFonts w:ascii="Arial" w:cs="Arial" w:eastAsia="Arial" w:hAnsi="Arial"/>
          <w:sz w:val="17"/>
          <w:szCs w:val="17"/>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1"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ind w:right="760" w:firstLine="441"/>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225" w:lineRule="exact"/>
        <w:rPr>
          <w:sz w:val="20"/>
          <w:szCs w:val="20"/>
          <w:color w:val="auto"/>
        </w:rPr>
      </w:pPr>
    </w:p>
    <w:p>
      <w:pPr>
        <w:ind w:right="40" w:firstLine="889"/>
        <w:spacing w:after="0" w:line="268" w:lineRule="auto"/>
        <w:tabs>
          <w:tab w:leader="none" w:pos="111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87" w:lineRule="exact"/>
        <w:rPr>
          <w:rFonts w:ascii="Arial" w:cs="Arial" w:eastAsia="Arial" w:hAnsi="Arial"/>
          <w:sz w:val="17"/>
          <w:szCs w:val="17"/>
          <w:color w:val="auto"/>
        </w:rPr>
      </w:pPr>
    </w:p>
    <w:p>
      <w:pPr>
        <w:ind w:firstLine="889"/>
        <w:spacing w:after="0" w:line="276" w:lineRule="auto"/>
        <w:tabs>
          <w:tab w:leader="none" w:pos="113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72" w:lineRule="exact"/>
        <w:rPr>
          <w:rFonts w:ascii="Arial" w:cs="Arial" w:eastAsia="Arial" w:hAnsi="Arial"/>
          <w:sz w:val="17"/>
          <w:szCs w:val="17"/>
          <w:color w:val="auto"/>
        </w:rPr>
      </w:pPr>
    </w:p>
    <w:p>
      <w:pPr>
        <w:ind w:right="100" w:firstLine="889"/>
        <w:spacing w:after="0" w:line="277" w:lineRule="auto"/>
        <w:tabs>
          <w:tab w:leader="none" w:pos="112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70" w:lineRule="exact"/>
        <w:rPr>
          <w:rFonts w:ascii="Arial" w:cs="Arial" w:eastAsia="Arial" w:hAnsi="Arial"/>
          <w:sz w:val="18"/>
          <w:szCs w:val="18"/>
          <w:color w:val="auto"/>
        </w:rPr>
      </w:pPr>
    </w:p>
    <w:p>
      <w:pPr>
        <w:ind w:right="160" w:firstLine="889"/>
        <w:spacing w:after="0" w:line="257" w:lineRule="auto"/>
        <w:tabs>
          <w:tab w:leader="none" w:pos="113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sectPr>
      </w:pPr>
    </w:p>
    <w:bookmarkStart w:id="106" w:name="page107"/>
    <w:bookmarkEnd w:id="106"/>
    <w:p>
      <w:pPr>
        <w:ind w:right="120"/>
        <w:spacing w:after="0" w:line="259" w:lineRule="auto"/>
        <w:rPr>
          <w:sz w:val="20"/>
          <w:szCs w:val="20"/>
          <w:color w:val="auto"/>
        </w:rPr>
      </w:pPr>
      <w:r>
        <w:rPr>
          <w:rFonts w:ascii="Arial" w:cs="Arial" w:eastAsia="Arial" w:hAnsi="Arial"/>
          <w:sz w:val="18"/>
          <w:szCs w:val="18"/>
          <w:color w:val="auto"/>
        </w:rPr>
        <w:t>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87" w:lineRule="exact"/>
        <w:rPr>
          <w:sz w:val="20"/>
          <w:szCs w:val="20"/>
          <w:color w:val="auto"/>
        </w:rPr>
      </w:pPr>
    </w:p>
    <w:p>
      <w:pPr>
        <w:ind w:firstLine="889"/>
        <w:spacing w:after="0" w:line="269" w:lineRule="auto"/>
        <w:tabs>
          <w:tab w:leader="none" w:pos="112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82" w:lineRule="exact"/>
        <w:rPr>
          <w:rFonts w:ascii="Arial" w:cs="Arial" w:eastAsia="Arial" w:hAnsi="Arial"/>
          <w:sz w:val="17"/>
          <w:szCs w:val="17"/>
          <w:color w:val="auto"/>
        </w:rPr>
      </w:pPr>
    </w:p>
    <w:p>
      <w:pPr>
        <w:ind w:right="260" w:firstLine="889"/>
        <w:spacing w:after="0" w:line="279" w:lineRule="auto"/>
        <w:tabs>
          <w:tab w:leader="none" w:pos="109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7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 the Trustee by any Holder or by the Company shall be sufficient for every purpose hereunder if made, given, furnished or filed in writing to or</w:t>
      </w:r>
    </w:p>
    <w:p>
      <w:pPr>
        <w:spacing w:after="0" w:line="46" w:lineRule="exact"/>
        <w:rPr>
          <w:sz w:val="20"/>
          <w:szCs w:val="20"/>
          <w:color w:val="auto"/>
        </w:rPr>
      </w:pPr>
    </w:p>
    <w:p>
      <w:pPr>
        <w:ind w:left="440"/>
        <w:spacing w:after="0"/>
        <w:tabs>
          <w:tab w:leader="none" w:pos="2780" w:val="left"/>
          <w:tab w:leader="none" w:pos="10880" w:val="left"/>
        </w:tabs>
        <w:rPr>
          <w:sz w:val="20"/>
          <w:szCs w:val="20"/>
          <w:color w:val="auto"/>
        </w:rPr>
      </w:pPr>
      <w:r>
        <w:rPr>
          <w:rFonts w:ascii="Arial" w:cs="Arial" w:eastAsia="Arial" w:hAnsi="Arial"/>
          <w:sz w:val="18"/>
          <w:szCs w:val="18"/>
          <w:color w:val="auto"/>
        </w:rPr>
        <w:t>with the Trustee at [</w:t>
      </w:r>
      <w:r>
        <w:rPr>
          <w:sz w:val="20"/>
          <w:szCs w:val="20"/>
          <w:color w:val="auto"/>
        </w:rPr>
        <w:tab/>
      </w:r>
      <w:r>
        <w:rPr>
          <w:rFonts w:ascii="Arial" w:cs="Arial" w:eastAsia="Arial" w:hAnsi="Arial"/>
          <w:sz w:val="18"/>
          <w:szCs w:val="18"/>
          <w:color w:val="auto"/>
        </w:rPr>
        <w:t>] or at any other address previously furnished in writing to the Company by the Trustee, Attention: [</w:t>
      </w:r>
      <w:r>
        <w:rPr>
          <w:sz w:val="20"/>
          <w:szCs w:val="20"/>
          <w:color w:val="auto"/>
        </w:rPr>
        <w:tab/>
      </w:r>
      <w:r>
        <w:rPr>
          <w:rFonts w:ascii="Arial" w:cs="Arial" w:eastAsia="Arial" w:hAnsi="Arial"/>
          <w:sz w:val="17"/>
          <w:szCs w:val="17"/>
          <w:color w:val="auto"/>
        </w:rPr>
        <w:t>]; or</w:t>
      </w:r>
    </w:p>
    <w:p>
      <w:pPr>
        <w:spacing w:after="0" w:line="211" w:lineRule="exact"/>
        <w:rPr>
          <w:sz w:val="20"/>
          <w:szCs w:val="20"/>
          <w:color w:val="auto"/>
        </w:rPr>
      </w:pPr>
    </w:p>
    <w:p>
      <w:pPr>
        <w:jc w:val="both"/>
        <w:ind w:left="440" w:right="120" w:firstLine="449"/>
        <w:spacing w:after="0" w:line="291" w:lineRule="auto"/>
        <w:tabs>
          <w:tab w:leader="none" w:pos="113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w:t>
      </w:r>
    </w:p>
    <w:p>
      <w:pPr>
        <w:ind w:left="440"/>
        <w:spacing w:after="0"/>
        <w:tabs>
          <w:tab w:leader="none" w:pos="9460" w:val="left"/>
        </w:tabs>
        <w:rPr>
          <w:sz w:val="20"/>
          <w:szCs w:val="20"/>
          <w:color w:val="auto"/>
        </w:rPr>
      </w:pPr>
      <w:r>
        <w:rPr>
          <w:rFonts w:ascii="Arial" w:cs="Arial" w:eastAsia="Arial" w:hAnsi="Arial"/>
          <w:sz w:val="18"/>
          <w:szCs w:val="18"/>
          <w:color w:val="auto"/>
        </w:rPr>
        <w:t>this Indenture or at any other address previously furnished in writing to the Trustee by the Company, Attention: [</w:t>
      </w:r>
      <w:r>
        <w:rPr>
          <w:sz w:val="20"/>
          <w:szCs w:val="20"/>
          <w:color w:val="auto"/>
        </w:rPr>
        <w:tab/>
      </w:r>
      <w:r>
        <w:rPr>
          <w:rFonts w:ascii="Arial" w:cs="Arial" w:eastAsia="Arial" w:hAnsi="Arial"/>
          <w:sz w:val="17"/>
          <w:szCs w:val="17"/>
          <w:color w:val="auto"/>
        </w:rPr>
        <w:t>]; or</w:t>
      </w:r>
    </w:p>
    <w:p>
      <w:pPr>
        <w:spacing w:after="0" w:line="211" w:lineRule="exact"/>
        <w:rPr>
          <w:sz w:val="20"/>
          <w:szCs w:val="20"/>
          <w:color w:val="auto"/>
        </w:rPr>
      </w:pPr>
    </w:p>
    <w:p>
      <w:pPr>
        <w:ind w:left="440" w:right="220" w:firstLine="449"/>
        <w:spacing w:after="0" w:line="291" w:lineRule="auto"/>
        <w:tabs>
          <w:tab w:leader="none" w:pos="113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w:t>
      </w:r>
    </w:p>
    <w:p>
      <w:pPr>
        <w:ind w:left="440"/>
        <w:spacing w:after="0"/>
        <w:tabs>
          <w:tab w:leader="none" w:pos="1980" w:val="left"/>
          <w:tab w:leader="none" w:pos="6220" w:val="left"/>
        </w:tabs>
        <w:rPr>
          <w:sz w:val="20"/>
          <w:szCs w:val="20"/>
          <w:color w:val="auto"/>
        </w:rPr>
      </w:pPr>
      <w:r>
        <w:rPr>
          <w:rFonts w:ascii="Arial" w:cs="Arial" w:eastAsia="Arial" w:hAnsi="Arial"/>
          <w:sz w:val="18"/>
          <w:szCs w:val="18"/>
          <w:color w:val="auto"/>
        </w:rPr>
        <w:t>number [</w:t>
      </w:r>
      <w:r>
        <w:rPr>
          <w:sz w:val="20"/>
          <w:szCs w:val="20"/>
          <w:color w:val="auto"/>
        </w:rPr>
        <w:tab/>
      </w:r>
      <w:r>
        <w:rPr>
          <w:rFonts w:ascii="Arial" w:cs="Arial" w:eastAsia="Arial" w:hAnsi="Arial"/>
          <w:sz w:val="18"/>
          <w:szCs w:val="18"/>
          <w:color w:val="auto"/>
        </w:rPr>
        <w:t>]; and if to the Company at facsimile number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6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73"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73"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1"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Counterparts; Effect of Headings and Table of Contents</w:t>
      </w:r>
      <w:r>
        <w:rPr>
          <w:rFonts w:ascii="Arial" w:cs="Arial" w:eastAsia="Arial" w:hAnsi="Arial"/>
          <w:sz w:val="17"/>
          <w:szCs w:val="17"/>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ectPr>
          <w:pgSz w:w="11900" w:h="16838" w:orient="portrait"/>
          <w:cols w:equalWidth="0" w:num="1">
            <w:col w:w="11420"/>
          </w:cols>
          <w:pgMar w:left="240" w:top="125" w:right="239" w:bottom="40" w:gutter="0" w:footer="0" w:header="0"/>
        </w:sectPr>
      </w:pPr>
    </w:p>
    <w:bookmarkStart w:id="107" w:name="page108"/>
    <w:bookmarkEnd w:id="107"/>
    <w:p>
      <w:pPr>
        <w:ind w:right="60" w:firstLine="441"/>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1"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81" w:lineRule="exact"/>
        <w:rPr>
          <w:sz w:val="20"/>
          <w:szCs w:val="20"/>
          <w:color w:val="auto"/>
        </w:rPr>
      </w:pPr>
    </w:p>
    <w:p>
      <w:pPr>
        <w:ind w:right="100" w:firstLine="441"/>
        <w:spacing w:after="0" w:line="289"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Legal Holidays</w:t>
      </w:r>
      <w:r>
        <w:rPr>
          <w:rFonts w:ascii="Arial" w:cs="Arial" w:eastAsia="Arial" w:hAnsi="Arial"/>
          <w:sz w:val="16"/>
          <w:szCs w:val="16"/>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Limited Liability; Immunity of Stockholders, Directors, Officers and Agents of the Company</w:t>
      </w:r>
      <w:r>
        <w:rPr>
          <w:rFonts w:ascii="Arial" w:cs="Arial" w:eastAsia="Arial" w:hAnsi="Arial"/>
          <w:sz w:val="16"/>
          <w:szCs w:val="16"/>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73"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TWO - SECURITIES FORMS</w:t>
      </w:r>
    </w:p>
    <w:p>
      <w:pPr>
        <w:spacing w:after="0" w:line="225"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Forms of Securities</w:t>
      </w:r>
      <w:r>
        <w:rPr>
          <w:rFonts w:ascii="Arial" w:cs="Arial" w:eastAsia="Arial" w:hAnsi="Arial"/>
          <w:sz w:val="16"/>
          <w:szCs w:val="16"/>
          <w:color w:val="auto"/>
        </w:rPr>
        <w:t xml:space="preserve">. The Registered Securities, if any, of each series and the Bearer Securities, if any, of each series and related coupons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81" w:lineRule="exact"/>
        <w:rPr>
          <w:sz w:val="20"/>
          <w:szCs w:val="20"/>
          <w:color w:val="auto"/>
        </w:rPr>
      </w:pPr>
    </w:p>
    <w:p>
      <w:pPr>
        <w:ind w:right="860" w:firstLine="441"/>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Subject to Section 611, the Trustee’s certificate of authentication shall be in substantially the following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therein referred to in the within- mentioned Indenture.</w:t>
      </w:r>
    </w:p>
    <w:p>
      <w:pPr>
        <w:spacing w:after="0" w:line="225" w:lineRule="exact"/>
        <w:rPr>
          <w:sz w:val="20"/>
          <w:szCs w:val="20"/>
          <w:color w:val="auto"/>
        </w:rPr>
      </w:pPr>
    </w:p>
    <w:p>
      <w:pPr>
        <w:ind w:left="105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67748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45" w:gutter="0" w:footer="0" w:header="0"/>
        </w:sectPr>
      </w:pPr>
    </w:p>
    <w:bookmarkStart w:id="108" w:name="page109"/>
    <w:bookmarkEnd w:id="108"/>
    <w:p>
      <w:pPr>
        <w:ind w:right="40" w:firstLine="441"/>
        <w:spacing w:after="0" w:line="28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Securities Issuable in Global Form</w:t>
      </w:r>
      <w:r>
        <w:rPr>
          <w:rFonts w:ascii="Arial" w:cs="Arial" w:eastAsia="Arial" w:hAnsi="Arial"/>
          <w:sz w:val="16"/>
          <w:szCs w:val="16"/>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provisions of the last sentence of Section 303 shall apply to any Security represented by a Global Security if such Security was never issued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sold by the Company and the Company delivers to the Trustee the Global Security together with written instructions (which need not comply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102 and need not be accompanied by an Opinion of Counsel) with regard to the reduction in the principal amount of Securities represented thereby,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written statement contemplated by the last sentence of Section 303.</w:t>
      </w:r>
    </w:p>
    <w:p>
      <w:pPr>
        <w:spacing w:after="0" w:line="211"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47"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Global Security authenticated and delivered hereunder shall bear a legend in substantially the following form:</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THREE - THE SECURITIES</w:t>
      </w:r>
    </w:p>
    <w:p>
      <w:pPr>
        <w:spacing w:after="0" w:line="225" w:lineRule="exact"/>
        <w:rPr>
          <w:sz w:val="20"/>
          <w:szCs w:val="20"/>
          <w:color w:val="auto"/>
        </w:rPr>
      </w:pPr>
    </w:p>
    <w:p>
      <w:pPr>
        <w:jc w:val="both"/>
        <w:ind w:right="220" w:firstLine="441"/>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jc w:val="both"/>
        <w:ind w:right="220" w:firstLine="441"/>
        <w:spacing w:after="0" w:line="312" w:lineRule="auto"/>
        <w:rPr>
          <w:sz w:val="20"/>
          <w:szCs w:val="20"/>
          <w:color w:val="auto"/>
        </w:rPr>
      </w:pPr>
      <w:r>
        <w:rPr>
          <w:rFonts w:ascii="Arial" w:cs="Arial" w:eastAsia="Arial" w:hAnsi="Arial"/>
          <w:sz w:val="16"/>
          <w:szCs w:val="16"/>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47" w:lineRule="exact"/>
        <w:rPr>
          <w:sz w:val="20"/>
          <w:szCs w:val="20"/>
          <w:color w:val="auto"/>
        </w:rPr>
      </w:pPr>
    </w:p>
    <w:p>
      <w:pPr>
        <w:ind w:left="440" w:right="100" w:firstLine="449"/>
        <w:spacing w:after="0" w:line="277" w:lineRule="auto"/>
        <w:tabs>
          <w:tab w:leader="none" w:pos="113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60" w:firstLine="449"/>
        <w:spacing w:after="0" w:line="259" w:lineRule="auto"/>
        <w:tabs>
          <w:tab w:leader="none" w:pos="112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186" w:lineRule="exact"/>
        <w:rPr>
          <w:rFonts w:ascii="Arial" w:cs="Arial" w:eastAsia="Arial" w:hAnsi="Arial"/>
          <w:sz w:val="18"/>
          <w:szCs w:val="18"/>
          <w:color w:val="auto"/>
        </w:rPr>
      </w:pPr>
    </w:p>
    <w:p>
      <w:pPr>
        <w:ind w:left="440" w:firstLine="449"/>
        <w:spacing w:after="0" w:line="259" w:lineRule="auto"/>
        <w:tabs>
          <w:tab w:leader="none" w:pos="113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Preferred Stock or the method by which any such portion shall be determined;</w:t>
      </w:r>
    </w:p>
    <w:p>
      <w:pPr>
        <w:spacing w:after="0" w:line="186" w:lineRule="exact"/>
        <w:rPr>
          <w:rFonts w:ascii="Arial" w:cs="Arial" w:eastAsia="Arial" w:hAnsi="Arial"/>
          <w:sz w:val="18"/>
          <w:szCs w:val="18"/>
          <w:color w:val="auto"/>
        </w:rPr>
      </w:pPr>
    </w:p>
    <w:p>
      <w:pPr>
        <w:ind w:left="440" w:right="120" w:firstLine="449"/>
        <w:spacing w:after="0" w:line="308" w:lineRule="auto"/>
        <w:tabs>
          <w:tab w:leader="none" w:pos="1136"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46" w:lineRule="exact"/>
        <w:rPr>
          <w:rFonts w:ascii="Arial" w:cs="Arial" w:eastAsia="Arial" w:hAnsi="Arial"/>
          <w:sz w:val="17"/>
          <w:szCs w:val="17"/>
          <w:color w:val="auto"/>
        </w:rPr>
      </w:pPr>
    </w:p>
    <w:p>
      <w:pPr>
        <w:ind w:left="1140" w:hanging="251"/>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on which the principal of such Securities will be payable;</w:t>
      </w:r>
    </w:p>
    <w:p>
      <w:pPr>
        <w:spacing w:after="0" w:line="225" w:lineRule="exact"/>
        <w:rPr>
          <w:rFonts w:ascii="Arial" w:cs="Arial" w:eastAsia="Arial" w:hAnsi="Arial"/>
          <w:sz w:val="18"/>
          <w:szCs w:val="18"/>
          <w:color w:val="auto"/>
        </w:rPr>
      </w:pPr>
    </w:p>
    <w:p>
      <w:pPr>
        <w:ind w:left="440" w:right="20" w:firstLine="449"/>
        <w:spacing w:after="0" w:line="277" w:lineRule="auto"/>
        <w:tabs>
          <w:tab w:leader="none" w:pos="113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or the method by which such rate or rates shall be determined, at which such Securities will bear interest, if any;</w:t>
      </w:r>
    </w:p>
    <w:p>
      <w:pPr>
        <w:spacing w:after="0" w:line="170" w:lineRule="exact"/>
        <w:rPr>
          <w:rFonts w:ascii="Arial" w:cs="Arial" w:eastAsia="Arial" w:hAnsi="Arial"/>
          <w:sz w:val="18"/>
          <w:szCs w:val="18"/>
          <w:color w:val="auto"/>
        </w:rPr>
      </w:pPr>
    </w:p>
    <w:p>
      <w:pPr>
        <w:ind w:left="440" w:firstLine="449"/>
        <w:spacing w:after="0" w:line="259" w:lineRule="auto"/>
        <w:tabs>
          <w:tab w:leader="none" w:pos="113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86" w:lineRule="exact"/>
        <w:rPr>
          <w:rFonts w:ascii="Arial" w:cs="Arial" w:eastAsia="Arial" w:hAnsi="Arial"/>
          <w:sz w:val="18"/>
          <w:szCs w:val="18"/>
          <w:color w:val="auto"/>
        </w:rPr>
      </w:pPr>
    </w:p>
    <w:p>
      <w:pPr>
        <w:ind w:left="440" w:right="260" w:firstLine="449"/>
        <w:spacing w:after="0" w:line="277" w:lineRule="auto"/>
        <w:tabs>
          <w:tab w:leader="none" w:pos="113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Make-Whole Amount, if any, or method for determining the Make-Whole Amount, if any, payable with respect to such Securities, and the terms upon which such amount, if any, will be payable;</w:t>
      </w:r>
    </w:p>
    <w:p>
      <w:pPr>
        <w:sectPr>
          <w:pgSz w:w="11900" w:h="16838" w:orient="portrait"/>
          <w:cols w:equalWidth="0" w:num="1">
            <w:col w:w="11420"/>
          </w:cols>
          <w:pgMar w:left="240" w:top="125" w:right="239" w:bottom="45" w:gutter="0" w:footer="0" w:header="0"/>
        </w:sectPr>
      </w:pPr>
    </w:p>
    <w:bookmarkStart w:id="109" w:name="page110"/>
    <w:bookmarkEnd w:id="109"/>
    <w:p>
      <w:pPr>
        <w:ind w:right="120" w:firstLine="449"/>
        <w:spacing w:after="0" w:line="264" w:lineRule="auto"/>
        <w:tabs>
          <w:tab w:leader="none" w:pos="69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181" w:lineRule="exact"/>
        <w:rPr>
          <w:rFonts w:ascii="Arial" w:cs="Arial" w:eastAsia="Arial" w:hAnsi="Arial"/>
          <w:sz w:val="18"/>
          <w:szCs w:val="18"/>
          <w:color w:val="auto"/>
        </w:rPr>
      </w:pPr>
    </w:p>
    <w:p>
      <w:pPr>
        <w:ind w:right="80" w:firstLine="449"/>
        <w:spacing w:after="0" w:line="308" w:lineRule="auto"/>
        <w:tabs>
          <w:tab w:leader="none" w:pos="78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46" w:lineRule="exact"/>
        <w:rPr>
          <w:rFonts w:ascii="Arial" w:cs="Arial" w:eastAsia="Arial" w:hAnsi="Arial"/>
          <w:sz w:val="17"/>
          <w:szCs w:val="17"/>
          <w:color w:val="auto"/>
        </w:rPr>
      </w:pPr>
    </w:p>
    <w:p>
      <w:pPr>
        <w:ind w:right="100" w:firstLine="449"/>
        <w:spacing w:after="0" w:line="286" w:lineRule="auto"/>
        <w:tabs>
          <w:tab w:leader="none" w:pos="77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65" w:lineRule="exact"/>
        <w:rPr>
          <w:rFonts w:ascii="Arial" w:cs="Arial" w:eastAsia="Arial" w:hAnsi="Arial"/>
          <w:sz w:val="17"/>
          <w:szCs w:val="17"/>
          <w:color w:val="auto"/>
        </w:rPr>
      </w:pPr>
    </w:p>
    <w:p>
      <w:pPr>
        <w:ind w:right="40" w:firstLine="449"/>
        <w:spacing w:after="0" w:line="264" w:lineRule="auto"/>
        <w:tabs>
          <w:tab w:leader="none" w:pos="78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81" w:lineRule="exact"/>
        <w:rPr>
          <w:rFonts w:ascii="Arial" w:cs="Arial" w:eastAsia="Arial" w:hAnsi="Arial"/>
          <w:sz w:val="18"/>
          <w:szCs w:val="18"/>
          <w:color w:val="auto"/>
        </w:rPr>
      </w:pPr>
    </w:p>
    <w:p>
      <w:pPr>
        <w:jc w:val="both"/>
        <w:ind w:right="20" w:firstLine="449"/>
        <w:spacing w:after="0" w:line="279" w:lineRule="auto"/>
        <w:tabs>
          <w:tab w:leader="none" w:pos="78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71" w:lineRule="exact"/>
        <w:rPr>
          <w:rFonts w:ascii="Arial" w:cs="Arial" w:eastAsia="Arial" w:hAnsi="Arial"/>
          <w:sz w:val="17"/>
          <w:szCs w:val="17"/>
          <w:color w:val="auto"/>
        </w:rPr>
      </w:pPr>
    </w:p>
    <w:p>
      <w:pPr>
        <w:ind w:right="40" w:firstLine="449"/>
        <w:spacing w:after="0" w:line="293" w:lineRule="auto"/>
        <w:tabs>
          <w:tab w:leader="none" w:pos="78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6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0" w:hanging="351"/>
        <w:spacing w:after="0"/>
        <w:tabs>
          <w:tab w:leader="none" w:pos="8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Provisions, if any, granting special rights to the Holders of Securities of the series upon the occurrence of such events as may be specified;</w:t>
      </w:r>
    </w:p>
    <w:p>
      <w:pPr>
        <w:spacing w:after="0" w:line="248" w:lineRule="exact"/>
        <w:rPr>
          <w:rFonts w:ascii="Arial" w:cs="Arial" w:eastAsia="Arial" w:hAnsi="Arial"/>
          <w:sz w:val="16"/>
          <w:szCs w:val="16"/>
          <w:color w:val="auto"/>
        </w:rPr>
      </w:pPr>
    </w:p>
    <w:p>
      <w:pPr>
        <w:ind w:right="320" w:firstLine="449"/>
        <w:spacing w:after="0" w:line="308" w:lineRule="auto"/>
        <w:tabs>
          <w:tab w:leader="none" w:pos="78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146" w:lineRule="exact"/>
        <w:rPr>
          <w:rFonts w:ascii="Arial" w:cs="Arial" w:eastAsia="Arial" w:hAnsi="Arial"/>
          <w:sz w:val="17"/>
          <w:szCs w:val="17"/>
          <w:color w:val="auto"/>
        </w:rPr>
      </w:pPr>
    </w:p>
    <w:p>
      <w:pPr>
        <w:ind w:firstLine="449"/>
        <w:spacing w:after="0" w:line="342" w:lineRule="auto"/>
        <w:tabs>
          <w:tab w:leader="none" w:pos="78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23" w:lineRule="exact"/>
        <w:rPr>
          <w:rFonts w:ascii="Arial" w:cs="Arial" w:eastAsia="Arial" w:hAnsi="Arial"/>
          <w:sz w:val="16"/>
          <w:szCs w:val="16"/>
          <w:color w:val="auto"/>
        </w:rPr>
      </w:pPr>
    </w:p>
    <w:p>
      <w:pPr>
        <w:ind w:right="20" w:firstLine="449"/>
        <w:spacing w:after="0" w:line="271" w:lineRule="auto"/>
        <w:tabs>
          <w:tab w:leader="none" w:pos="78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178" w:lineRule="exact"/>
        <w:rPr>
          <w:rFonts w:ascii="Arial" w:cs="Arial" w:eastAsia="Arial" w:hAnsi="Arial"/>
          <w:sz w:val="17"/>
          <w:szCs w:val="17"/>
          <w:color w:val="auto"/>
        </w:rPr>
      </w:pPr>
    </w:p>
    <w:p>
      <w:pPr>
        <w:ind w:right="80" w:firstLine="449"/>
        <w:spacing w:after="0" w:line="277" w:lineRule="auto"/>
        <w:tabs>
          <w:tab w:leader="none" w:pos="78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70" w:lineRule="exact"/>
        <w:rPr>
          <w:rFonts w:ascii="Arial" w:cs="Arial" w:eastAsia="Arial" w:hAnsi="Arial"/>
          <w:sz w:val="18"/>
          <w:szCs w:val="18"/>
          <w:color w:val="auto"/>
        </w:rPr>
      </w:pPr>
    </w:p>
    <w:p>
      <w:pPr>
        <w:ind w:firstLine="449"/>
        <w:spacing w:after="0" w:line="255" w:lineRule="auto"/>
        <w:tabs>
          <w:tab w:leader="none" w:pos="78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each case, that the manner of determining such Person or making such payment shall be acceptable to the Trustee (as not imposing on it any undue administrative burden or risk of liability);</w:t>
      </w:r>
    </w:p>
    <w:p>
      <w:pPr>
        <w:spacing w:after="0" w:line="189" w:lineRule="exact"/>
        <w:rPr>
          <w:rFonts w:ascii="Arial" w:cs="Arial" w:eastAsia="Arial" w:hAnsi="Arial"/>
          <w:sz w:val="18"/>
          <w:szCs w:val="18"/>
          <w:color w:val="auto"/>
        </w:rPr>
      </w:pPr>
    </w:p>
    <w:p>
      <w:pPr>
        <w:ind w:left="800" w:hanging="351"/>
        <w:spacing w:after="0"/>
        <w:tabs>
          <w:tab w:leader="none" w:pos="8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of Article Fourteen hereof to the Securities of the series;</w:t>
      </w:r>
    </w:p>
    <w:p>
      <w:pPr>
        <w:spacing w:after="0" w:line="248" w:lineRule="exact"/>
        <w:rPr>
          <w:rFonts w:ascii="Arial" w:cs="Arial" w:eastAsia="Arial" w:hAnsi="Arial"/>
          <w:sz w:val="16"/>
          <w:szCs w:val="16"/>
          <w:color w:val="auto"/>
        </w:rPr>
      </w:pPr>
    </w:p>
    <w:p>
      <w:pPr>
        <w:ind w:right="120" w:firstLine="449"/>
        <w:spacing w:after="0" w:line="259" w:lineRule="auto"/>
        <w:tabs>
          <w:tab w:leader="none" w:pos="78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86" w:lineRule="exact"/>
        <w:rPr>
          <w:rFonts w:ascii="Arial" w:cs="Arial" w:eastAsia="Arial" w:hAnsi="Arial"/>
          <w:sz w:val="18"/>
          <w:szCs w:val="18"/>
          <w:color w:val="auto"/>
        </w:rPr>
      </w:pPr>
    </w:p>
    <w:p>
      <w:pPr>
        <w:ind w:firstLine="449"/>
        <w:spacing w:after="0" w:line="264" w:lineRule="auto"/>
        <w:tabs>
          <w:tab w:leader="none" w:pos="78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81" w:lineRule="exact"/>
        <w:rPr>
          <w:rFonts w:ascii="Arial" w:cs="Arial" w:eastAsia="Arial" w:hAnsi="Arial"/>
          <w:sz w:val="18"/>
          <w:szCs w:val="18"/>
          <w:color w:val="auto"/>
        </w:rPr>
      </w:pPr>
    </w:p>
    <w:p>
      <w:pPr>
        <w:ind w:right="340" w:firstLine="449"/>
        <w:spacing w:after="0" w:line="308" w:lineRule="auto"/>
        <w:tabs>
          <w:tab w:leader="none" w:pos="78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46" w:lineRule="exact"/>
        <w:rPr>
          <w:rFonts w:ascii="Arial" w:cs="Arial" w:eastAsia="Arial" w:hAnsi="Arial"/>
          <w:sz w:val="17"/>
          <w:szCs w:val="17"/>
          <w:color w:val="auto"/>
        </w:rPr>
      </w:pPr>
    </w:p>
    <w:p>
      <w:pPr>
        <w:ind w:left="800" w:hanging="351"/>
        <w:spacing w:after="0"/>
        <w:tabs>
          <w:tab w:leader="none" w:pos="8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w:t>
      </w:r>
    </w:p>
    <w:p>
      <w:pPr>
        <w:sectPr>
          <w:pgSz w:w="11900" w:h="16838" w:orient="portrait"/>
          <w:cols w:equalWidth="0" w:num="1">
            <w:col w:w="10940"/>
          </w:cols>
          <w:pgMar w:left="680" w:top="125" w:right="279" w:bottom="100" w:gutter="0" w:footer="0" w:header="0"/>
        </w:sectPr>
      </w:pPr>
    </w:p>
    <w:bookmarkStart w:id="110" w:name="page111"/>
    <w:bookmarkEnd w:id="110"/>
    <w:p>
      <w:pPr>
        <w:jc w:val="both"/>
        <w:ind w:right="160" w:firstLine="441"/>
        <w:spacing w:after="0" w:line="302" w:lineRule="auto"/>
        <w:rPr>
          <w:sz w:val="20"/>
          <w:szCs w:val="20"/>
          <w:color w:val="auto"/>
        </w:rPr>
      </w:pPr>
      <w:r>
        <w:rPr>
          <w:rFonts w:ascii="Arial" w:cs="Arial" w:eastAsia="Arial" w:hAnsi="Arial"/>
          <w:sz w:val="16"/>
          <w:szCs w:val="16"/>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Denominations</w:t>
      </w:r>
      <w:r>
        <w:rPr>
          <w:rFonts w:ascii="Arial" w:cs="Arial" w:eastAsia="Arial" w:hAnsi="Arial"/>
          <w:sz w:val="17"/>
          <w:szCs w:val="17"/>
          <w:color w:val="auto"/>
        </w:rPr>
        <w:t>. The Securities of each series shall be issuable in such denominations as shall be specified as contemplated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301. With respect to Securities of any series denominated in Dollars, in the absence of any such provisions with respect to the Securities of any series,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of such series, other than Global Securities (which may be of any denomination), shall be issuable in denominations of $1,000 and any integral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multiple thereof or the equivalent amounts thereof in the case of Securities denominated in the Foreign Currency or currency unit.</w:t>
      </w:r>
    </w:p>
    <w:p>
      <w:pPr>
        <w:spacing w:after="0" w:line="21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Execution, Authentication, Delivery and Dating</w:t>
      </w:r>
      <w:r>
        <w:rPr>
          <w:rFonts w:ascii="Arial" w:cs="Arial" w:eastAsia="Arial" w:hAnsi="Arial"/>
          <w:sz w:val="17"/>
          <w:szCs w:val="17"/>
          <w:color w:val="auto"/>
        </w:rPr>
        <w:t>. The Securities and any coupons appertaining thereto shall be executed on behalf of the Company by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7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connection with its original issuance, no Bearer Security shall be mailed or otherwise delivered to any location in the United States;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72"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73" w:lineRule="exact"/>
        <w:rPr>
          <w:sz w:val="20"/>
          <w:szCs w:val="20"/>
          <w:color w:val="auto"/>
        </w:rPr>
      </w:pPr>
    </w:p>
    <w:p>
      <w:pPr>
        <w:ind w:left="1540" w:hanging="210"/>
        <w:spacing w:after="0"/>
        <w:tabs>
          <w:tab w:leader="none" w:pos="1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 Opinion of Counsel stating that</w:t>
      </w:r>
    </w:p>
    <w:p>
      <w:pPr>
        <w:spacing w:after="0" w:line="225" w:lineRule="exact"/>
        <w:rPr>
          <w:rFonts w:ascii="Arial" w:cs="Arial" w:eastAsia="Arial" w:hAnsi="Arial"/>
          <w:sz w:val="18"/>
          <w:szCs w:val="18"/>
          <w:color w:val="auto"/>
        </w:rPr>
      </w:pPr>
    </w:p>
    <w:p>
      <w:pPr>
        <w:ind w:left="2120" w:hanging="239"/>
        <w:spacing w:after="0"/>
        <w:tabs>
          <w:tab w:leader="none" w:pos="212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form or forms of such Securities and any coupons have been established in conformity with the provisions of this Indenture;</w:t>
      </w:r>
    </w:p>
    <w:p>
      <w:pPr>
        <w:spacing w:after="0" w:line="248" w:lineRule="exact"/>
        <w:rPr>
          <w:rFonts w:ascii="Arial" w:cs="Arial" w:eastAsia="Arial" w:hAnsi="Arial"/>
          <w:sz w:val="16"/>
          <w:szCs w:val="16"/>
          <w:color w:val="auto"/>
        </w:rPr>
      </w:pPr>
    </w:p>
    <w:p>
      <w:pPr>
        <w:ind w:left="2140" w:hanging="259"/>
        <w:spacing w:after="0"/>
        <w:tabs>
          <w:tab w:leader="none" w:pos="21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terms of such Securities and any coupons have been established in conformity with the provisions of this Indenture; and</w:t>
      </w:r>
    </w:p>
    <w:p>
      <w:pPr>
        <w:spacing w:after="0" w:line="248" w:lineRule="exact"/>
        <w:rPr>
          <w:rFonts w:ascii="Arial" w:cs="Arial" w:eastAsia="Arial" w:hAnsi="Arial"/>
          <w:sz w:val="16"/>
          <w:szCs w:val="16"/>
          <w:color w:val="auto"/>
        </w:rPr>
      </w:pPr>
    </w:p>
    <w:p>
      <w:pPr>
        <w:ind w:left="1440" w:right="120" w:firstLine="441"/>
        <w:spacing w:after="0" w:line="264" w:lineRule="auto"/>
        <w:tabs>
          <w:tab w:leader="none" w:pos="212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0" w:right="120"/>
        <w:spacing w:after="0" w:line="259" w:lineRule="auto"/>
        <w:rPr>
          <w:sz w:val="20"/>
          <w:szCs w:val="20"/>
          <w:color w:val="auto"/>
        </w:rPr>
      </w:pPr>
      <w:r>
        <w:rPr>
          <w:rFonts w:ascii="Arial" w:cs="Arial" w:eastAsia="Arial" w:hAnsi="Arial"/>
          <w:sz w:val="18"/>
          <w:szCs w:val="18"/>
          <w:color w:val="auto"/>
        </w:rPr>
        <w:t>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187" w:lineRule="exact"/>
        <w:rPr>
          <w:sz w:val="20"/>
          <w:szCs w:val="20"/>
          <w:color w:val="auto"/>
        </w:rPr>
      </w:pPr>
    </w:p>
    <w:p>
      <w:pPr>
        <w:ind w:left="880" w:right="80" w:firstLine="450"/>
        <w:spacing w:after="0" w:line="264" w:lineRule="auto"/>
        <w:tabs>
          <w:tab w:leader="none" w:pos="158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ectPr>
          <w:pgSz w:w="11900" w:h="16838" w:orient="portrait"/>
          <w:cols w:equalWidth="0" w:num="1">
            <w:col w:w="11400"/>
          </w:cols>
          <w:pgMar w:left="240" w:top="125" w:right="259" w:bottom="0" w:gutter="0" w:footer="0" w:header="0"/>
        </w:sectPr>
      </w:pPr>
    </w:p>
    <w:bookmarkStart w:id="111" w:name="page112"/>
    <w:bookmarkEnd w:id="111"/>
    <w:p>
      <w:pPr>
        <w:spacing w:after="0" w:line="27"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8"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Each Registered Security shall be dated the date of its authentication and each Bearer Security shall be dated as of the date specified as contemplated by Section 301.</w:t>
      </w:r>
    </w:p>
    <w:p>
      <w:pPr>
        <w:spacing w:after="0" w:line="17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180" w:firstLine="889"/>
        <w:spacing w:after="0" w:line="255" w:lineRule="auto"/>
        <w:tabs>
          <w:tab w:leader="none" w:pos="112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93"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definitive Bearer Security shall be delivered in exchange for a temporary Registered Security;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definitive Bearer Security shall be delivered in exchange for a temporary Bearer Security only in compliance with the conditions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set forth in Section 303. Until so exchanged, the temporary Securities of any series shall in all respects be entitled to the same benefits under this Indenture as definitive Securities of such series.</w:t>
      </w:r>
    </w:p>
    <w:p>
      <w:pPr>
        <w:spacing w:after="0" w:line="170" w:lineRule="exact"/>
        <w:rPr>
          <w:sz w:val="20"/>
          <w:szCs w:val="20"/>
          <w:color w:val="auto"/>
        </w:rPr>
      </w:pPr>
    </w:p>
    <w:p>
      <w:pPr>
        <w:ind w:right="20" w:firstLine="889"/>
        <w:spacing w:after="0" w:line="276" w:lineRule="auto"/>
        <w:tabs>
          <w:tab w:leader="none" w:pos="113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73"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to this Indenture or in such other form as may be established pursuant to Section 301;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definitive Bearer Securities shall be delivered in exchange for a portion of a temporary Global Security only in compliance with the requirements of Section 303.</w:t>
      </w:r>
    </w:p>
    <w:p>
      <w:pPr>
        <w:spacing w:after="0" w:line="169"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w:t>
      </w:r>
    </w:p>
    <w:p>
      <w:pPr>
        <w:sectPr>
          <w:pgSz w:w="11900" w:h="16865" w:orient="portrait"/>
          <w:cols w:equalWidth="0" w:num="1">
            <w:col w:w="11400"/>
          </w:cols>
          <w:pgMar w:left="240" w:top="125" w:right="259" w:bottom="0" w:gutter="0" w:footer="0" w:header="0"/>
        </w:sectPr>
      </w:pPr>
    </w:p>
    <w:bookmarkStart w:id="112" w:name="page113"/>
    <w:bookmarkEnd w:id="112"/>
    <w:p>
      <w:pPr>
        <w:ind w:right="180"/>
        <w:spacing w:after="0" w:line="277" w:lineRule="auto"/>
        <w:rPr>
          <w:sz w:val="20"/>
          <w:szCs w:val="20"/>
          <w:color w:val="auto"/>
        </w:rPr>
      </w:pPr>
      <w:r>
        <w:rPr>
          <w:rFonts w:ascii="Arial" w:cs="Arial" w:eastAsia="Arial" w:hAnsi="Arial"/>
          <w:sz w:val="18"/>
          <w:szCs w:val="18"/>
          <w:color w:val="auto"/>
        </w:rPr>
        <w:t>Definitive Securities in bearer form to be delivered in exchange for any portion of a temporary Global Security shall be delivered only to an address located outside the United States.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Until exchanged in full as hereinabove provided, the temporary Securities of any series shall in all respects be entitled to the same benefits under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Indenture as definitive Securities of the same series and of like tenor authenticated and delivered hereunder, except that, unless otherwise specified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contemplated by Section 301, interest payable on a temporary Global Security on an Interest Payment Date for Securities of such series occurring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Exchange Date shall be payable to Euroclear and Clearstream on such Interest Payment Date upon delivery by Euroclear and Clearstream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Trustee of a certificate or certificates in the form set forth in </w:t>
      </w:r>
      <w:r>
        <w:rPr>
          <w:rFonts w:ascii="Arial" w:cs="Arial" w:eastAsia="Arial" w:hAnsi="Arial"/>
          <w:sz w:val="17"/>
          <w:szCs w:val="17"/>
          <w:u w:val="single" w:color="auto"/>
          <w:color w:val="auto"/>
        </w:rPr>
        <w:t>Exhibit B-2</w:t>
      </w:r>
      <w:r>
        <w:rPr>
          <w:rFonts w:ascii="Arial" w:cs="Arial" w:eastAsia="Arial" w:hAnsi="Arial"/>
          <w:sz w:val="17"/>
          <w:szCs w:val="17"/>
          <w:color w:val="auto"/>
        </w:rPr>
        <w:t xml:space="preserve"> to this Indenture (or in such other forms as may be established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301), for credit without further interest on or after such Interest Payment Date to the respective accounts of Persons who are the beneficial owners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temporary Global Security on such Interest Payment Date and who have each delivered to Euroclear or Clearstream, as the case may be, a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dated no earlier than 15 days prior to the Interest Payment Date occurring prior to such Exchange Date in the form set forth as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to this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 such other forms as may be established pursuant to Section 301). Notwithstanding anything to the contrary herein contained, the certifications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this paragraph shall satisfy the certification requirements of the preceding two paragraphs of this Section 304(b) and of the third paragraph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303 of this Indenture and the interests of the Persons who are the beneficial owners of the temporary Global Security with respect to which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certification was made will be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58"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 xml:space="preserve">With respect to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B-2</w:t>
      </w:r>
      <w:r>
        <w:rPr>
          <w:rFonts w:ascii="Arial" w:cs="Arial" w:eastAsia="Arial" w:hAnsi="Arial"/>
          <w:sz w:val="16"/>
          <w:szCs w:val="16"/>
          <w:color w:val="auto"/>
        </w:rPr>
        <w:t xml:space="preserve">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54"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Registration, Registration of Transfer, Conversion and Exchange</w:t>
      </w:r>
      <w:r>
        <w:rPr>
          <w:rFonts w:ascii="Arial" w:cs="Arial" w:eastAsia="Arial" w:hAnsi="Arial"/>
          <w:sz w:val="17"/>
          <w:szCs w:val="17"/>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79"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7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93"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w:t>
      </w:r>
    </w:p>
    <w:p>
      <w:pPr>
        <w:sectPr>
          <w:pgSz w:w="11900" w:h="16838" w:orient="portrait"/>
          <w:cols w:equalWidth="0" w:num="1">
            <w:col w:w="11400"/>
          </w:cols>
          <w:pgMar w:left="240" w:top="125" w:right="259" w:bottom="0" w:gutter="0" w:footer="0" w:header="0"/>
        </w:sectPr>
      </w:pPr>
    </w:p>
    <w:bookmarkStart w:id="113" w:name="page114"/>
    <w:bookmarkEnd w:id="113"/>
    <w:p>
      <w:pPr>
        <w:spacing w:after="0" w:line="3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170"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200" w:lineRule="exact"/>
        <w:rPr>
          <w:sz w:val="20"/>
          <w:szCs w:val="20"/>
          <w:color w:val="auto"/>
        </w:rPr>
      </w:pPr>
    </w:p>
    <w:p>
      <w:pPr>
        <w:spacing w:after="0" w:line="206"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81"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66"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78"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70" w:lineRule="exact"/>
        <w:rPr>
          <w:sz w:val="20"/>
          <w:szCs w:val="20"/>
          <w:color w:val="auto"/>
        </w:rPr>
      </w:pPr>
    </w:p>
    <w:p>
      <w:pPr>
        <w:jc w:val="both"/>
        <w:ind w:right="200" w:firstLine="441"/>
        <w:spacing w:after="0" w:line="276"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Mutilated, Destroyed, Lost and Stolen Securities</w:t>
      </w:r>
      <w:r>
        <w:rPr>
          <w:rFonts w:ascii="Arial" w:cs="Arial" w:eastAsia="Arial" w:hAnsi="Arial"/>
          <w:sz w:val="17"/>
          <w:szCs w:val="17"/>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73"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w:t>
      </w:r>
    </w:p>
    <w:p>
      <w:pPr>
        <w:sectPr>
          <w:pgSz w:w="11900" w:h="16873" w:orient="portrait"/>
          <w:cols w:equalWidth="0" w:num="1">
            <w:col w:w="11400"/>
          </w:cols>
          <w:pgMar w:left="240" w:top="125" w:right="259" w:bottom="0" w:gutter="0" w:footer="0" w:header="0"/>
        </w:sectPr>
      </w:pPr>
    </w:p>
    <w:bookmarkStart w:id="114" w:name="page115"/>
    <w:bookmarkEnd w:id="114"/>
    <w:p>
      <w:pPr>
        <w:ind w:right="400"/>
        <w:spacing w:after="0" w:line="277" w:lineRule="auto"/>
        <w:rPr>
          <w:sz w:val="20"/>
          <w:szCs w:val="20"/>
          <w:color w:val="auto"/>
        </w:rPr>
      </w:pPr>
      <w:r>
        <w:rPr>
          <w:rFonts w:ascii="Arial" w:cs="Arial" w:eastAsia="Arial" w:hAnsi="Arial"/>
          <w:sz w:val="18"/>
          <w:szCs w:val="18"/>
          <w:color w:val="auto"/>
        </w:rPr>
        <w:t>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2"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70"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70"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Payment of Interest; Interest Rights Preserved</w:t>
      </w:r>
      <w:r>
        <w:rPr>
          <w:rFonts w:ascii="Arial" w:cs="Arial" w:eastAsia="Arial" w:hAnsi="Arial"/>
          <w:sz w:val="17"/>
          <w:szCs w:val="17"/>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78"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7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87"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73"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71" w:lineRule="exact"/>
        <w:rPr>
          <w:sz w:val="20"/>
          <w:szCs w:val="20"/>
          <w:color w:val="auto"/>
        </w:rPr>
      </w:pPr>
    </w:p>
    <w:p>
      <w:pPr>
        <w:ind w:left="440" w:firstLine="449"/>
        <w:spacing w:after="0" w:line="286" w:lineRule="auto"/>
        <w:tabs>
          <w:tab w:leader="none" w:pos="113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43" w:gutter="0" w:footer="0" w:header="0"/>
        </w:sectPr>
      </w:pPr>
    </w:p>
    <w:bookmarkStart w:id="115" w:name="page116"/>
    <w:bookmarkEnd w:id="115"/>
    <w:p>
      <w:pPr>
        <w:ind w:left="440" w:right="40"/>
        <w:spacing w:after="0" w:line="289" w:lineRule="auto"/>
        <w:rPr>
          <w:sz w:val="20"/>
          <w:szCs w:val="20"/>
          <w:color w:val="auto"/>
        </w:rPr>
      </w:pPr>
      <w:r>
        <w:rPr>
          <w:rFonts w:ascii="Arial" w:cs="Arial" w:eastAsia="Arial" w:hAnsi="Arial"/>
          <w:sz w:val="16"/>
          <w:szCs w:val="16"/>
          <w:color w:val="auto"/>
        </w:rPr>
        <w:t>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167" w:lineRule="exact"/>
        <w:rPr>
          <w:sz w:val="20"/>
          <w:szCs w:val="20"/>
          <w:color w:val="auto"/>
        </w:rPr>
      </w:pPr>
    </w:p>
    <w:p>
      <w:pPr>
        <w:ind w:left="440" w:right="200" w:firstLine="449"/>
        <w:spacing w:after="0" w:line="259" w:lineRule="auto"/>
        <w:tabs>
          <w:tab w:leader="none" w:pos="113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81"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65" w:lineRule="exact"/>
        <w:rPr>
          <w:sz w:val="20"/>
          <w:szCs w:val="20"/>
          <w:color w:val="auto"/>
        </w:rPr>
      </w:pPr>
    </w:p>
    <w:p>
      <w:pPr>
        <w:ind w:right="220" w:firstLine="441"/>
        <w:spacing w:after="0" w:line="279" w:lineRule="auto"/>
        <w:rPr>
          <w:sz w:val="20"/>
          <w:szCs w:val="20"/>
          <w:color w:val="auto"/>
        </w:rPr>
      </w:pPr>
      <w:r>
        <w:rPr>
          <w:rFonts w:ascii="Arial" w:cs="Arial" w:eastAsia="Arial" w:hAnsi="Arial"/>
          <w:sz w:val="17"/>
          <w:szCs w:val="17"/>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71"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58"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7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Cancellation</w:t>
      </w:r>
      <w:r>
        <w:rPr>
          <w:rFonts w:ascii="Arial" w:cs="Arial" w:eastAsia="Arial" w:hAnsi="Arial"/>
          <w:sz w:val="18"/>
          <w:szCs w:val="18"/>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8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70"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CUSIP Numbers</w:t>
      </w:r>
      <w:r>
        <w:rPr>
          <w:rFonts w:ascii="Arial" w:cs="Arial" w:eastAsia="Arial" w:hAnsi="Arial"/>
          <w:sz w:val="17"/>
          <w:szCs w:val="17"/>
          <w:color w:val="auto"/>
        </w:rPr>
        <w:t xml:space="preserve">. The Company in issuing the Securities may use “CUSIP” numbers (if then generally in use), and, if so, the Trustee shall use “CUSIP”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FOUR - SATISFACTION AND DISCHARGE</w:t>
      </w:r>
    </w:p>
    <w:p>
      <w:pPr>
        <w:spacing w:after="0" w:line="225"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ectPr>
          <w:pgSz w:w="11900" w:h="16838" w:orient="portrait"/>
          <w:cols w:equalWidth="0" w:num="1">
            <w:col w:w="11420"/>
          </w:cols>
          <w:pgMar w:left="240" w:top="125" w:right="239" w:bottom="0" w:gutter="0" w:footer="0" w:header="0"/>
        </w:sectPr>
      </w:pPr>
    </w:p>
    <w:bookmarkStart w:id="116" w:name="page117"/>
    <w:bookmarkEnd w:id="116"/>
    <w:p>
      <w:pPr>
        <w:spacing w:after="0" w:line="28" w:lineRule="exact"/>
        <w:rPr>
          <w:sz w:val="20"/>
          <w:szCs w:val="20"/>
          <w:color w:val="auto"/>
        </w:rPr>
      </w:pPr>
    </w:p>
    <w:p>
      <w:pPr>
        <w:ind w:left="1140" w:hanging="251"/>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880" w:firstLine="450"/>
        <w:spacing w:after="0" w:line="291" w:lineRule="auto"/>
        <w:tabs>
          <w:tab w:leader="none" w:pos="1616"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67" w:lineRule="exact"/>
        <w:rPr>
          <w:rFonts w:ascii="Arial" w:cs="Arial" w:eastAsia="Arial" w:hAnsi="Arial"/>
          <w:sz w:val="16"/>
          <w:szCs w:val="16"/>
          <w:color w:val="auto"/>
        </w:rPr>
      </w:pPr>
    </w:p>
    <w:p>
      <w:pPr>
        <w:ind w:left="880" w:firstLine="450"/>
        <w:spacing w:after="0" w:line="277" w:lineRule="auto"/>
        <w:tabs>
          <w:tab w:leader="none" w:pos="160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all Securities of such series and, in the case of (i) or (ii) below, any coupons appertaining thereto not theretofore delivered to the Trustee for cancellation</w:t>
      </w:r>
    </w:p>
    <w:p>
      <w:pPr>
        <w:spacing w:after="0" w:line="170" w:lineRule="exact"/>
        <w:rPr>
          <w:sz w:val="20"/>
          <w:szCs w:val="20"/>
          <w:color w:val="auto"/>
        </w:rPr>
      </w:pPr>
    </w:p>
    <w:p>
      <w:pPr>
        <w:ind w:left="1540" w:hanging="210"/>
        <w:spacing w:after="0"/>
        <w:tabs>
          <w:tab w:leader="none" w:pos="1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1600" w:hanging="270"/>
        <w:spacing w:after="0"/>
        <w:tabs>
          <w:tab w:leader="none" w:pos="16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880" w:right="360" w:firstLine="450"/>
        <w:spacing w:after="0" w:line="308" w:lineRule="auto"/>
        <w:tabs>
          <w:tab w:leader="none" w:pos="163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interest to the date of such deposit (in the case of Securities which have become due and payable) or to the Stated Maturity or Redemption Date, as the case may be;</w:t>
      </w:r>
    </w:p>
    <w:p>
      <w:pPr>
        <w:spacing w:after="0" w:line="170" w:lineRule="exact"/>
        <w:rPr>
          <w:sz w:val="20"/>
          <w:szCs w:val="20"/>
          <w:color w:val="auto"/>
        </w:rPr>
      </w:pPr>
    </w:p>
    <w:p>
      <w:pPr>
        <w:ind w:left="1140" w:hanging="251"/>
        <w:spacing w:after="0"/>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440" w:right="40" w:firstLine="449"/>
        <w:spacing w:after="0" w:line="277" w:lineRule="auto"/>
        <w:tabs>
          <w:tab w:leader="none" w:pos="113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7"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Application of Trust Funds</w:t>
      </w:r>
      <w:r>
        <w:rPr>
          <w:rFonts w:ascii="Arial" w:cs="Arial" w:eastAsia="Arial" w:hAnsi="Arial"/>
          <w:sz w:val="17"/>
          <w:szCs w:val="17"/>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FIVE - REMEDIES</w:t>
      </w:r>
    </w:p>
    <w:p>
      <w:pPr>
        <w:spacing w:after="0" w:line="225"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66" w:lineRule="exact"/>
        <w:rPr>
          <w:sz w:val="20"/>
          <w:szCs w:val="20"/>
          <w:color w:val="auto"/>
        </w:rPr>
      </w:pPr>
    </w:p>
    <w:p>
      <w:pPr>
        <w:ind w:left="440" w:right="460" w:firstLine="449"/>
        <w:spacing w:after="0" w:line="277" w:lineRule="auto"/>
        <w:tabs>
          <w:tab w:leader="none" w:pos="113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170" w:lineRule="exact"/>
        <w:rPr>
          <w:rFonts w:ascii="Arial" w:cs="Arial" w:eastAsia="Arial" w:hAnsi="Arial"/>
          <w:sz w:val="18"/>
          <w:szCs w:val="18"/>
          <w:color w:val="auto"/>
        </w:rPr>
      </w:pPr>
    </w:p>
    <w:p>
      <w:pPr>
        <w:ind w:left="440" w:right="240" w:firstLine="449"/>
        <w:spacing w:after="0" w:line="277" w:lineRule="auto"/>
        <w:tabs>
          <w:tab w:leader="none" w:pos="113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or Make-Whole Amount, if any, on) any Security of that series when it becomes due and payable at its Maturity; or</w:t>
      </w:r>
    </w:p>
    <w:p>
      <w:pPr>
        <w:spacing w:after="0" w:line="170" w:lineRule="exact"/>
        <w:rPr>
          <w:rFonts w:ascii="Arial" w:cs="Arial" w:eastAsia="Arial" w:hAnsi="Arial"/>
          <w:sz w:val="18"/>
          <w:szCs w:val="18"/>
          <w:color w:val="auto"/>
        </w:rPr>
      </w:pPr>
    </w:p>
    <w:p>
      <w:pPr>
        <w:ind w:left="440" w:right="180" w:firstLine="449"/>
        <w:spacing w:after="0" w:line="277" w:lineRule="auto"/>
        <w:tabs>
          <w:tab w:leader="none" w:pos="113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to the extent applicable to such series of Securities, when and as due by the terms of any Security of that series; or</w:t>
      </w:r>
    </w:p>
    <w:p>
      <w:pPr>
        <w:spacing w:after="0" w:line="170" w:lineRule="exact"/>
        <w:rPr>
          <w:rFonts w:ascii="Arial" w:cs="Arial" w:eastAsia="Arial" w:hAnsi="Arial"/>
          <w:sz w:val="18"/>
          <w:szCs w:val="18"/>
          <w:color w:val="auto"/>
        </w:rPr>
      </w:pPr>
    </w:p>
    <w:p>
      <w:pPr>
        <w:ind w:left="440" w:right="20" w:firstLine="449"/>
        <w:spacing w:after="0" w:line="273" w:lineRule="auto"/>
        <w:tabs>
          <w:tab w:leader="none" w:pos="1136" w:val="left"/>
        </w:tabs>
        <w:numPr>
          <w:ilvl w:val="0"/>
          <w:numId w:val="155"/>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8" w:lineRule="exact"/>
        <w:rPr>
          <w:rFonts w:ascii="Arial" w:cs="Arial" w:eastAsia="Arial" w:hAnsi="Arial"/>
          <w:sz w:val="17"/>
          <w:szCs w:val="17"/>
          <w:color w:val="auto"/>
        </w:rPr>
      </w:pPr>
    </w:p>
    <w:p>
      <w:pPr>
        <w:ind w:left="440" w:right="80" w:firstLine="449"/>
        <w:spacing w:after="0" w:line="293" w:lineRule="auto"/>
        <w:tabs>
          <w:tab w:leader="none" w:pos="113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default under any bond, debenture, note, mortgage, indenture or instrument under which there may be issued or by which there may be secured or evidenced any indebtedness for money borrowed by the Company, having an aggregate principal amount outstanding of at least $75,000,000,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w:t>
      </w:r>
    </w:p>
    <w:p>
      <w:pPr>
        <w:sectPr>
          <w:pgSz w:w="11900" w:h="16867" w:orient="portrait"/>
          <w:cols w:equalWidth="0" w:num="1">
            <w:col w:w="11400"/>
          </w:cols>
          <w:pgMar w:left="240" w:top="125" w:right="259" w:bottom="0" w:gutter="0" w:footer="0" w:header="0"/>
        </w:sectPr>
      </w:pPr>
    </w:p>
    <w:bookmarkStart w:id="117" w:name="page118"/>
    <w:bookmarkEnd w:id="117"/>
    <w:p>
      <w:pPr>
        <w:spacing w:after="0" w:line="13" w:lineRule="exact"/>
        <w:rPr>
          <w:sz w:val="20"/>
          <w:szCs w:val="20"/>
          <w:color w:val="auto"/>
        </w:rPr>
      </w:pPr>
    </w:p>
    <w:p>
      <w:pPr>
        <w:ind w:left="440" w:right="180"/>
        <w:spacing w:after="0" w:line="259" w:lineRule="auto"/>
        <w:rPr>
          <w:sz w:val="20"/>
          <w:szCs w:val="20"/>
          <w:color w:val="auto"/>
        </w:rPr>
      </w:pPr>
      <w:r>
        <w:rPr>
          <w:rFonts w:ascii="Arial" w:cs="Arial" w:eastAsia="Arial" w:hAnsi="Arial"/>
          <w:sz w:val="18"/>
          <w:szCs w:val="18"/>
          <w:color w:val="auto"/>
        </w:rPr>
        <w:t xml:space="preserve">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subject to the provisions of Sections 601 and 602, the Trustee shall not be deemed to have knowledge of such default unless either (A) a Responsible Officer of the Trustee shall have knowledge of such default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or (B) the Trustee shall have received written notice thereof from the Company, from any Holder, from the holder of any such indebtedness or from the trustee under any such mortgage, indenture or other instrument; or</w:t>
      </w:r>
    </w:p>
    <w:p>
      <w:pPr>
        <w:spacing w:after="0" w:line="170" w:lineRule="exact"/>
        <w:rPr>
          <w:sz w:val="20"/>
          <w:szCs w:val="20"/>
          <w:color w:val="auto"/>
        </w:rPr>
      </w:pPr>
    </w:p>
    <w:p>
      <w:pPr>
        <w:ind w:left="1140" w:hanging="251"/>
        <w:spacing w:after="0"/>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1620" w:hanging="290"/>
        <w:spacing w:after="0"/>
        <w:tabs>
          <w:tab w:leader="none" w:pos="1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orders the liquidation of the Company, and the order or decree remains unstayed and in effect for 90 days; or</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93"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47" w:lineRule="exact"/>
        <w:rPr>
          <w:sz w:val="20"/>
          <w:szCs w:val="20"/>
          <w:color w:val="auto"/>
        </w:rPr>
      </w:pPr>
    </w:p>
    <w:p>
      <w:pPr>
        <w:ind w:left="440" w:right="100" w:firstLine="449"/>
        <w:spacing w:after="0" w:line="308" w:lineRule="auto"/>
        <w:tabs>
          <w:tab w:leader="none" w:pos="113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146" w:lineRule="exact"/>
        <w:rPr>
          <w:rFonts w:ascii="Arial" w:cs="Arial" w:eastAsia="Arial" w:hAnsi="Arial"/>
          <w:sz w:val="17"/>
          <w:szCs w:val="17"/>
          <w:color w:val="auto"/>
        </w:rPr>
      </w:pPr>
    </w:p>
    <w:p>
      <w:pPr>
        <w:ind w:left="1620" w:hanging="290"/>
        <w:spacing w:after="0"/>
        <w:tabs>
          <w:tab w:leader="none" w:pos="1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overdue installments of interest on all Outstanding Securities of that series and any related coupons,</w:t>
      </w:r>
    </w:p>
    <w:p>
      <w:pPr>
        <w:spacing w:after="0" w:line="225" w:lineRule="exact"/>
        <w:rPr>
          <w:rFonts w:ascii="Arial" w:cs="Arial" w:eastAsia="Arial" w:hAnsi="Arial"/>
          <w:sz w:val="18"/>
          <w:szCs w:val="18"/>
          <w:color w:val="auto"/>
        </w:rPr>
      </w:pPr>
    </w:p>
    <w:p>
      <w:pPr>
        <w:ind w:left="880" w:right="260" w:firstLine="450"/>
        <w:spacing w:after="0" w:line="342" w:lineRule="auto"/>
        <w:tabs>
          <w:tab w:leader="none" w:pos="1606"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123" w:lineRule="exact"/>
        <w:rPr>
          <w:rFonts w:ascii="Arial" w:cs="Arial" w:eastAsia="Arial" w:hAnsi="Arial"/>
          <w:sz w:val="16"/>
          <w:szCs w:val="16"/>
          <w:color w:val="auto"/>
        </w:rPr>
      </w:pPr>
    </w:p>
    <w:p>
      <w:pPr>
        <w:ind w:left="880" w:right="580" w:firstLine="450"/>
        <w:spacing w:after="0" w:line="277" w:lineRule="auto"/>
        <w:tabs>
          <w:tab w:leader="none" w:pos="1606"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170" w:lineRule="exact"/>
        <w:rPr>
          <w:rFonts w:ascii="Arial" w:cs="Arial" w:eastAsia="Arial" w:hAnsi="Arial"/>
          <w:sz w:val="18"/>
          <w:szCs w:val="18"/>
          <w:color w:val="auto"/>
        </w:rPr>
      </w:pPr>
    </w:p>
    <w:p>
      <w:pPr>
        <w:ind w:left="880" w:right="340" w:firstLine="450"/>
        <w:spacing w:after="0" w:line="277" w:lineRule="auto"/>
        <w:tabs>
          <w:tab w:leader="none" w:pos="1616"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left="440" w:right="80" w:firstLine="449"/>
        <w:spacing w:after="0" w:line="264" w:lineRule="auto"/>
        <w:tabs>
          <w:tab w:leader="none" w:pos="11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The Company covenants that if:</w:t>
      </w:r>
    </w:p>
    <w:p>
      <w:pPr>
        <w:spacing w:after="0" w:line="225" w:lineRule="exact"/>
        <w:rPr>
          <w:sz w:val="20"/>
          <w:szCs w:val="20"/>
          <w:color w:val="auto"/>
        </w:rPr>
      </w:pPr>
    </w:p>
    <w:p>
      <w:pPr>
        <w:ind w:left="440" w:right="40" w:firstLine="449"/>
        <w:spacing w:after="0" w:line="277" w:lineRule="auto"/>
        <w:tabs>
          <w:tab w:leader="none" w:pos="113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default is made in the payment of the principal of (or premium or Make-Whole Amount, if any, on) any Security of any series at its Maturity,</w:t>
      </w:r>
    </w:p>
    <w:p>
      <w:pPr>
        <w:sectPr>
          <w:pgSz w:w="11900" w:h="16851" w:orient="portrait"/>
          <w:cols w:equalWidth="0" w:num="1">
            <w:col w:w="11420"/>
          </w:cols>
          <w:pgMar w:left="240" w:top="125" w:right="239" w:bottom="0" w:gutter="0" w:footer="0" w:header="0"/>
        </w:sectPr>
      </w:pPr>
    </w:p>
    <w:bookmarkStart w:id="118" w:name="page119"/>
    <w:bookmarkEnd w:id="118"/>
    <w:p>
      <w:pPr>
        <w:spacing w:after="0" w:line="255" w:lineRule="auto"/>
        <w:rPr>
          <w:sz w:val="20"/>
          <w:szCs w:val="20"/>
          <w:color w:val="auto"/>
        </w:rPr>
      </w:pPr>
      <w:r>
        <w:rPr>
          <w:rFonts w:ascii="Arial" w:cs="Arial" w:eastAsia="Arial" w:hAnsi="Arial"/>
          <w:sz w:val="18"/>
          <w:szCs w:val="18"/>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3" w:lineRule="exact"/>
        <w:rPr>
          <w:sz w:val="20"/>
          <w:szCs w:val="20"/>
          <w:color w:val="auto"/>
        </w:rPr>
      </w:pPr>
    </w:p>
    <w:p>
      <w:pPr>
        <w:ind w:right="200" w:firstLine="441"/>
        <w:spacing w:after="0" w:line="302"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54"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93" w:lineRule="exact"/>
        <w:rPr>
          <w:sz w:val="20"/>
          <w:szCs w:val="20"/>
          <w:color w:val="auto"/>
        </w:rPr>
      </w:pPr>
    </w:p>
    <w:p>
      <w:pPr>
        <w:ind w:left="880" w:right="20" w:firstLine="450"/>
        <w:spacing w:after="0" w:line="302" w:lineRule="auto"/>
        <w:tabs>
          <w:tab w:leader="none" w:pos="153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54" w:lineRule="exact"/>
        <w:rPr>
          <w:rFonts w:ascii="Arial" w:cs="Arial" w:eastAsia="Arial" w:hAnsi="Arial"/>
          <w:sz w:val="16"/>
          <w:szCs w:val="16"/>
          <w:color w:val="auto"/>
        </w:rPr>
      </w:pPr>
    </w:p>
    <w:p>
      <w:pPr>
        <w:ind w:left="1600" w:hanging="270"/>
        <w:spacing w:after="0"/>
        <w:tabs>
          <w:tab w:leader="none" w:pos="16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54"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81"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Trustee May Enforce Claims Without Possession of Securities or Coupons</w:t>
      </w:r>
      <w:r>
        <w:rPr>
          <w:rFonts w:ascii="Arial" w:cs="Arial" w:eastAsia="Arial" w:hAnsi="Arial"/>
          <w:sz w:val="16"/>
          <w:szCs w:val="16"/>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5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payment of the remainder, if any, to the Company.</w:t>
      </w:r>
    </w:p>
    <w:p>
      <w:pPr>
        <w:spacing w:after="0" w:line="225" w:lineRule="exact"/>
        <w:rPr>
          <w:sz w:val="20"/>
          <w:szCs w:val="20"/>
          <w:color w:val="auto"/>
        </w:rPr>
      </w:pPr>
    </w:p>
    <w:p>
      <w:pPr>
        <w:jc w:val="both"/>
        <w:ind w:right="340" w:firstLine="441"/>
        <w:spacing w:after="0" w:line="26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No Holder of any Security of any series or any related coupon shall have any right to institute any proceeding, judicial or otherwise, with respect to this Indenture or the Securities or any related coupon, or for the appointment of a receiver or trustee, or for any other remedy hereunder, unless: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 such Holder has previously given written notice to the Trustee of a continuing Event of Default with respect to the Securities of that series;</w:t>
      </w:r>
    </w:p>
    <w:p>
      <w:pPr>
        <w:sectPr>
          <w:pgSz w:w="11900" w:h="16838" w:orient="portrait"/>
          <w:cols w:equalWidth="0" w:num="1">
            <w:col w:w="11420"/>
          </w:cols>
          <w:pgMar w:left="240" w:top="341" w:right="239" w:bottom="123" w:gutter="0" w:footer="0" w:header="0"/>
        </w:sectPr>
      </w:pPr>
    </w:p>
    <w:bookmarkStart w:id="119" w:name="page120"/>
    <w:bookmarkEnd w:id="119"/>
    <w:p>
      <w:pPr>
        <w:ind w:left="440" w:right="20" w:firstLine="449"/>
        <w:spacing w:after="0" w:line="277" w:lineRule="auto"/>
        <w:tabs>
          <w:tab w:leader="none" w:pos="11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440" w:right="120" w:firstLine="449"/>
        <w:spacing w:after="0" w:line="277" w:lineRule="auto"/>
        <w:tabs>
          <w:tab w:leader="none" w:pos="11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reasonably satisfactory to the Trustee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236" w:lineRule="exact"/>
        <w:rPr>
          <w:rFonts w:ascii="Arial" w:cs="Arial" w:eastAsia="Arial" w:hAnsi="Arial"/>
          <w:sz w:val="17"/>
          <w:szCs w:val="17"/>
          <w:color w:val="auto"/>
        </w:rPr>
      </w:pPr>
    </w:p>
    <w:p>
      <w:pPr>
        <w:ind w:left="440" w:right="300" w:firstLine="449"/>
        <w:spacing w:after="0" w:line="277" w:lineRule="auto"/>
        <w:tabs>
          <w:tab w:leader="none" w:pos="11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or the Securities or any related coupon, except in the manner herein provided and for the equal and ratable benefit of all such Holders.</w:t>
      </w:r>
    </w:p>
    <w:p>
      <w:pPr>
        <w:spacing w:after="0" w:line="187"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Unconditional Right of Holders to Receive Principal, Premium or Make-Whole Amount, if any, and Interest</w:t>
      </w:r>
      <w:r>
        <w:rPr>
          <w:rFonts w:ascii="Arial" w:cs="Arial" w:eastAsia="Arial" w:hAnsi="Arial"/>
          <w:sz w:val="17"/>
          <w:szCs w:val="17"/>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93"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87"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 of Securities</w:t>
      </w:r>
      <w:r>
        <w:rPr>
          <w:rFonts w:ascii="Arial" w:cs="Arial" w:eastAsia="Arial" w:hAnsi="Arial"/>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left="1140" w:hanging="251"/>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left="440" w:right="200" w:firstLine="449"/>
        <w:spacing w:after="0" w:line="277" w:lineRule="auto"/>
        <w:tabs>
          <w:tab w:leader="none" w:pos="113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Trustee need not take any action which might involve it in personal liability or be unduly prejudicial to the Holders of Securities of such series not joining therein.</w:t>
      </w:r>
    </w:p>
    <w:p>
      <w:pPr>
        <w:spacing w:after="0" w:line="170"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by Holders.</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81" w:lineRule="exact"/>
        <w:rPr>
          <w:sz w:val="20"/>
          <w:szCs w:val="20"/>
          <w:color w:val="auto"/>
        </w:rPr>
      </w:pPr>
    </w:p>
    <w:p>
      <w:pPr>
        <w:ind w:left="440" w:right="520" w:firstLine="449"/>
        <w:spacing w:after="0" w:line="277" w:lineRule="auto"/>
        <w:tabs>
          <w:tab w:leader="none" w:pos="113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payment of the principal of (or premium or Make-Whole Amount, if any) or interest on any Security of such series or any related coupons, or</w:t>
      </w:r>
    </w:p>
    <w:p>
      <w:pPr>
        <w:spacing w:after="0" w:line="170" w:lineRule="exact"/>
        <w:rPr>
          <w:rFonts w:ascii="Arial" w:cs="Arial" w:eastAsia="Arial" w:hAnsi="Arial"/>
          <w:sz w:val="18"/>
          <w:szCs w:val="18"/>
          <w:color w:val="auto"/>
        </w:rPr>
      </w:pPr>
    </w:p>
    <w:p>
      <w:pPr>
        <w:ind w:left="440" w:right="280" w:firstLine="449"/>
        <w:spacing w:after="0" w:line="277" w:lineRule="auto"/>
        <w:tabs>
          <w:tab w:leader="none" w:pos="113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 or</w:t>
      </w:r>
    </w:p>
    <w:p>
      <w:pPr>
        <w:spacing w:after="0" w:line="170" w:lineRule="exact"/>
        <w:rPr>
          <w:rFonts w:ascii="Arial" w:cs="Arial" w:eastAsia="Arial" w:hAnsi="Arial"/>
          <w:sz w:val="18"/>
          <w:szCs w:val="18"/>
          <w:color w:val="auto"/>
        </w:rPr>
      </w:pPr>
    </w:p>
    <w:p>
      <w:pPr>
        <w:ind w:left="1140" w:hanging="251"/>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jc w:val="both"/>
        <w:ind w:right="420" w:firstLine="441"/>
        <w:spacing w:after="0" w:line="34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24"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Waiver of Usury, Stay or Extension Laws</w:t>
      </w:r>
      <w:r>
        <w:rPr>
          <w:rFonts w:ascii="Arial" w:cs="Arial" w:eastAsia="Arial" w:hAnsi="Arial"/>
          <w:sz w:val="16"/>
          <w:szCs w:val="16"/>
          <w:color w:val="auto"/>
        </w:rPr>
        <w:t>. The Company covenants (to the extent that it may lawfully do so) that it will not at any time insist upon, or plead, or in any manner whatsoever claim or take the benefit or advantage of, any usury, stay or extension law wherever enacted, now or at any</w:t>
      </w:r>
    </w:p>
    <w:p>
      <w:pPr>
        <w:sectPr>
          <w:pgSz w:w="11900" w:h="16838" w:orient="portrait"/>
          <w:cols w:equalWidth="0" w:num="1">
            <w:col w:w="11420"/>
          </w:cols>
          <w:pgMar w:left="240" w:top="125" w:right="239" w:bottom="0" w:gutter="0" w:footer="0" w:header="0"/>
        </w:sectPr>
      </w:pPr>
    </w:p>
    <w:bookmarkStart w:id="120" w:name="page121"/>
    <w:bookmarkEnd w:id="120"/>
    <w:p>
      <w:pPr>
        <w:ind w:right="480"/>
        <w:spacing w:after="0" w:line="277" w:lineRule="auto"/>
        <w:rPr>
          <w:sz w:val="20"/>
          <w:szCs w:val="20"/>
          <w:color w:val="auto"/>
        </w:rPr>
      </w:pPr>
      <w:r>
        <w:rPr>
          <w:rFonts w:ascii="Arial" w:cs="Arial" w:eastAsia="Arial" w:hAnsi="Arial"/>
          <w:sz w:val="18"/>
          <w:szCs w:val="18"/>
          <w:color w:val="auto"/>
        </w:rPr>
        <w:t>time hereafter in force, which may affect the covenants or the performance of this Indenture; and the Company (to the extent that it may lawfully do so) hereby expressly waives all benefit or advantage of any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law, and covenants that it will not hinder, delay or impede the execution of any power herein granted to the Trustee, but will suffer and permit the execution of every such power as though no such law had been enacted.</w:t>
      </w:r>
    </w:p>
    <w:p>
      <w:pPr>
        <w:spacing w:after="0" w:line="17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SIX - THE TRUSTEE</w:t>
      </w:r>
    </w:p>
    <w:p>
      <w:pPr>
        <w:spacing w:after="0" w:line="225"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Notice of Defaults</w:t>
      </w:r>
      <w:r>
        <w:rPr>
          <w:rFonts w:ascii="Arial" w:cs="Arial" w:eastAsia="Arial" w:hAnsi="Arial"/>
          <w:sz w:val="16"/>
          <w:szCs w:val="16"/>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 Subject to the provisions of TIA Section 315(a) through 315(d):</w:t>
      </w:r>
    </w:p>
    <w:p>
      <w:pPr>
        <w:spacing w:after="0" w:line="225" w:lineRule="exact"/>
        <w:rPr>
          <w:sz w:val="20"/>
          <w:szCs w:val="20"/>
          <w:color w:val="auto"/>
        </w:rPr>
      </w:pPr>
    </w:p>
    <w:p>
      <w:pPr>
        <w:ind w:left="440" w:right="100" w:firstLine="449"/>
        <w:spacing w:after="0" w:line="312" w:lineRule="auto"/>
        <w:tabs>
          <w:tab w:leader="none" w:pos="113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146" w:lineRule="exact"/>
        <w:rPr>
          <w:rFonts w:ascii="Arial" w:cs="Arial" w:eastAsia="Arial" w:hAnsi="Arial"/>
          <w:sz w:val="16"/>
          <w:szCs w:val="16"/>
          <w:color w:val="auto"/>
        </w:rPr>
      </w:pPr>
    </w:p>
    <w:p>
      <w:pPr>
        <w:ind w:left="440" w:right="240" w:firstLine="449"/>
        <w:spacing w:after="0" w:line="259" w:lineRule="auto"/>
        <w:tabs>
          <w:tab w:leader="none" w:pos="113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86" w:lineRule="exact"/>
        <w:rPr>
          <w:rFonts w:ascii="Arial" w:cs="Arial" w:eastAsia="Arial" w:hAnsi="Arial"/>
          <w:sz w:val="18"/>
          <w:szCs w:val="18"/>
          <w:color w:val="auto"/>
        </w:rPr>
      </w:pPr>
    </w:p>
    <w:p>
      <w:pPr>
        <w:ind w:left="440" w:right="180" w:firstLine="449"/>
        <w:spacing w:after="0" w:line="264" w:lineRule="auto"/>
        <w:tabs>
          <w:tab w:leader="none" w:pos="113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1" w:lineRule="exact"/>
        <w:rPr>
          <w:rFonts w:ascii="Arial" w:cs="Arial" w:eastAsia="Arial" w:hAnsi="Arial"/>
          <w:sz w:val="18"/>
          <w:szCs w:val="18"/>
          <w:color w:val="auto"/>
        </w:rPr>
      </w:pPr>
    </w:p>
    <w:p>
      <w:pPr>
        <w:ind w:left="440" w:right="180" w:firstLine="449"/>
        <w:spacing w:after="0" w:line="342" w:lineRule="auto"/>
        <w:tabs>
          <w:tab w:leader="none" w:pos="113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auto"/>
        </w:rPr>
      </w:pPr>
    </w:p>
    <w:p>
      <w:pPr>
        <w:ind w:left="440" w:right="120" w:firstLine="449"/>
        <w:spacing w:after="0" w:line="259" w:lineRule="auto"/>
        <w:tabs>
          <w:tab w:leader="none" w:pos="113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86" w:lineRule="exact"/>
        <w:rPr>
          <w:rFonts w:ascii="Arial" w:cs="Arial" w:eastAsia="Arial" w:hAnsi="Arial"/>
          <w:sz w:val="18"/>
          <w:szCs w:val="18"/>
          <w:color w:val="auto"/>
        </w:rPr>
      </w:pPr>
    </w:p>
    <w:p>
      <w:pPr>
        <w:ind w:left="440" w:right="20" w:firstLine="449"/>
        <w:spacing w:after="0" w:line="264" w:lineRule="auto"/>
        <w:tabs>
          <w:tab w:leader="none" w:pos="113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line="271" w:lineRule="auto"/>
        <w:rPr>
          <w:sz w:val="20"/>
          <w:szCs w:val="20"/>
          <w:color w:val="auto"/>
        </w:rPr>
      </w:pPr>
      <w:r>
        <w:rPr>
          <w:rFonts w:ascii="Arial" w:cs="Arial" w:eastAsia="Arial" w:hAnsi="Arial"/>
          <w:sz w:val="17"/>
          <w:szCs w:val="17"/>
          <w:color w:val="auto"/>
        </w:rPr>
        <w:t xml:space="preserve">Outstanding Securities of any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79" w:lineRule="exact"/>
        <w:rPr>
          <w:sz w:val="20"/>
          <w:szCs w:val="20"/>
          <w:color w:val="auto"/>
        </w:rPr>
      </w:pPr>
    </w:p>
    <w:p>
      <w:pPr>
        <w:ind w:left="440" w:right="260" w:firstLine="449"/>
        <w:spacing w:after="0" w:line="264" w:lineRule="auto"/>
        <w:tabs>
          <w:tab w:leader="none" w:pos="113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ectPr>
          <w:pgSz w:w="11900" w:h="16838" w:orient="portrait"/>
          <w:cols w:equalWidth="0" w:num="1">
            <w:col w:w="11420"/>
          </w:cols>
          <w:pgMar w:left="240" w:top="125" w:right="239" w:bottom="0" w:gutter="0" w:footer="0" w:header="0"/>
        </w:sectPr>
      </w:pPr>
    </w:p>
    <w:bookmarkStart w:id="121" w:name="page122"/>
    <w:bookmarkEnd w:id="121"/>
    <w:p>
      <w:pPr>
        <w:spacing w:after="0" w:line="12" w:lineRule="exact"/>
        <w:rPr>
          <w:sz w:val="20"/>
          <w:szCs w:val="20"/>
          <w:color w:val="auto"/>
        </w:rPr>
      </w:pPr>
    </w:p>
    <w:p>
      <w:pPr>
        <w:ind w:left="440" w:right="320" w:firstLine="449"/>
        <w:spacing w:after="0" w:line="277" w:lineRule="auto"/>
        <w:tabs>
          <w:tab w:leader="none" w:pos="113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440" w:right="80" w:firstLine="449"/>
        <w:spacing w:after="0" w:line="277" w:lineRule="auto"/>
        <w:tabs>
          <w:tab w:leader="none" w:pos="113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permissive right or power available to the Trustee under this Indenture or any supplement hereto shall not be construed to be a mandatory duty or obligation;</w:t>
      </w:r>
    </w:p>
    <w:p>
      <w:pPr>
        <w:spacing w:after="0" w:line="170" w:lineRule="exact"/>
        <w:rPr>
          <w:rFonts w:ascii="Arial" w:cs="Arial" w:eastAsia="Arial" w:hAnsi="Arial"/>
          <w:sz w:val="18"/>
          <w:szCs w:val="18"/>
          <w:color w:val="auto"/>
        </w:rPr>
      </w:pPr>
    </w:p>
    <w:p>
      <w:pPr>
        <w:ind w:left="1240" w:hanging="351"/>
        <w:spacing w:after="0"/>
        <w:tabs>
          <w:tab w:leader="none" w:pos="12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Trustee shall not be charged with knowledge of any matter (including any default, other than as described in Section 501(1), (2) or</w:t>
      </w:r>
    </w:p>
    <w:p>
      <w:pPr>
        <w:spacing w:after="0" w:line="35" w:lineRule="exact"/>
        <w:rPr>
          <w:sz w:val="20"/>
          <w:szCs w:val="20"/>
          <w:color w:val="auto"/>
        </w:rPr>
      </w:pPr>
    </w:p>
    <w:p>
      <w:pPr>
        <w:ind w:left="440" w:right="440"/>
        <w:spacing w:after="0" w:line="261" w:lineRule="auto"/>
        <w:rPr>
          <w:sz w:val="20"/>
          <w:szCs w:val="20"/>
          <w:color w:val="auto"/>
        </w:rPr>
      </w:pPr>
      <w:r>
        <w:rPr>
          <w:rFonts w:ascii="Arial" w:cs="Arial" w:eastAsia="Arial" w:hAnsi="Arial"/>
          <w:sz w:val="18"/>
          <w:szCs w:val="18"/>
          <w:color w:val="auto"/>
        </w:rPr>
        <w:t>(3)) unless and except to the extent actually known to a Responsible Officer of the Trustee or to the extent written notice thereof is received by the Trustee at the Corporate Trust Office;</w:t>
      </w:r>
    </w:p>
    <w:p>
      <w:pPr>
        <w:spacing w:after="0" w:line="184" w:lineRule="exact"/>
        <w:rPr>
          <w:sz w:val="20"/>
          <w:szCs w:val="20"/>
          <w:color w:val="auto"/>
        </w:rPr>
      </w:pPr>
    </w:p>
    <w:p>
      <w:pPr>
        <w:ind w:left="440" w:right="460" w:firstLine="449"/>
        <w:spacing w:after="0" w:line="277" w:lineRule="auto"/>
        <w:tabs>
          <w:tab w:leader="none" w:pos="121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170" w:lineRule="exact"/>
        <w:rPr>
          <w:rFonts w:ascii="Arial" w:cs="Arial" w:eastAsia="Arial" w:hAnsi="Arial"/>
          <w:sz w:val="18"/>
          <w:szCs w:val="18"/>
          <w:color w:val="auto"/>
        </w:rPr>
      </w:pPr>
    </w:p>
    <w:p>
      <w:pPr>
        <w:ind w:left="440" w:right="100" w:firstLine="449"/>
        <w:spacing w:after="0" w:line="264" w:lineRule="auto"/>
        <w:tabs>
          <w:tab w:leader="none" w:pos="122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181" w:lineRule="exact"/>
        <w:rPr>
          <w:rFonts w:ascii="Arial" w:cs="Arial" w:eastAsia="Arial" w:hAnsi="Arial"/>
          <w:sz w:val="18"/>
          <w:szCs w:val="18"/>
          <w:color w:val="auto"/>
        </w:rPr>
      </w:pPr>
    </w:p>
    <w:p>
      <w:pPr>
        <w:ind w:left="440" w:right="120" w:firstLine="449"/>
        <w:spacing w:after="0" w:line="286" w:lineRule="auto"/>
        <w:tabs>
          <w:tab w:leader="none" w:pos="122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6" w:lineRule="exact"/>
        <w:rPr>
          <w:sz w:val="20"/>
          <w:szCs w:val="20"/>
          <w:color w:val="auto"/>
        </w:rPr>
      </w:pPr>
    </w:p>
    <w:p>
      <w:pPr>
        <w:ind w:right="600" w:firstLine="441"/>
        <w:spacing w:after="0" w:line="264" w:lineRule="auto"/>
        <w:rPr>
          <w:sz w:val="20"/>
          <w:szCs w:val="20"/>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70"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Not Responsible for Recitals or Issuance of Securities</w:t>
      </w:r>
      <w:r>
        <w:rPr>
          <w:rFonts w:ascii="Arial" w:cs="Arial" w:eastAsia="Arial" w:hAnsi="Arial"/>
          <w:sz w:val="17"/>
          <w:szCs w:val="17"/>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178"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May Hold Securities</w:t>
      </w:r>
      <w:r>
        <w:rPr>
          <w:rFonts w:ascii="Arial" w:cs="Arial" w:eastAsia="Arial" w:hAnsi="Arial"/>
          <w:sz w:val="16"/>
          <w:szCs w:val="16"/>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Money Held in Trust</w:t>
      </w:r>
      <w:r>
        <w:rPr>
          <w:rFonts w:ascii="Arial" w:cs="Arial" w:eastAsia="Arial" w:hAnsi="Arial"/>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 The Company agrees:</w:t>
      </w:r>
    </w:p>
    <w:p>
      <w:pPr>
        <w:spacing w:after="0" w:line="225" w:lineRule="exact"/>
        <w:rPr>
          <w:sz w:val="20"/>
          <w:szCs w:val="20"/>
          <w:color w:val="auto"/>
        </w:rPr>
      </w:pPr>
    </w:p>
    <w:p>
      <w:pPr>
        <w:ind w:left="440" w:right="300" w:firstLine="449"/>
        <w:spacing w:after="0" w:line="308" w:lineRule="auto"/>
        <w:tabs>
          <w:tab w:leader="none" w:pos="113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146" w:lineRule="exact"/>
        <w:rPr>
          <w:rFonts w:ascii="Arial" w:cs="Arial" w:eastAsia="Arial" w:hAnsi="Arial"/>
          <w:sz w:val="17"/>
          <w:szCs w:val="17"/>
          <w:color w:val="auto"/>
        </w:rPr>
      </w:pPr>
    </w:p>
    <w:p>
      <w:pPr>
        <w:jc w:val="both"/>
        <w:ind w:left="440" w:right="780" w:firstLine="449"/>
        <w:spacing w:after="0" w:line="279" w:lineRule="auto"/>
        <w:tabs>
          <w:tab w:leader="none" w:pos="113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171" w:lineRule="exact"/>
        <w:rPr>
          <w:rFonts w:ascii="Arial" w:cs="Arial" w:eastAsia="Arial" w:hAnsi="Arial"/>
          <w:sz w:val="17"/>
          <w:szCs w:val="17"/>
          <w:color w:val="auto"/>
        </w:rPr>
      </w:pPr>
    </w:p>
    <w:p>
      <w:pPr>
        <w:jc w:val="both"/>
        <w:ind w:left="440" w:right="40" w:firstLine="449"/>
        <w:spacing w:after="0" w:line="259" w:lineRule="auto"/>
        <w:tabs>
          <w:tab w:leader="none" w:pos="11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7" w:lineRule="exact"/>
        <w:rPr>
          <w:sz w:val="20"/>
          <w:szCs w:val="20"/>
          <w:color w:val="auto"/>
        </w:rPr>
      </w:pPr>
    </w:p>
    <w:p>
      <w:pPr>
        <w:jc w:val="both"/>
        <w:ind w:right="680" w:firstLine="441"/>
        <w:spacing w:after="0" w:line="264"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1"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Corporate Trustee Required; Eligibility; Conflicting Interests</w:t>
      </w:r>
      <w:r>
        <w:rPr>
          <w:rFonts w:ascii="Arial" w:cs="Arial" w:eastAsia="Arial" w:hAnsi="Arial"/>
          <w:sz w:val="16"/>
          <w:szCs w:val="16"/>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w:t>
      </w:r>
    </w:p>
    <w:p>
      <w:pPr>
        <w:sectPr>
          <w:pgSz w:w="11900" w:h="16850" w:orient="portrait"/>
          <w:cols w:equalWidth="0" w:num="1">
            <w:col w:w="11420"/>
          </w:cols>
          <w:pgMar w:left="240" w:top="125" w:right="239" w:bottom="0" w:gutter="0" w:footer="0" w:header="0"/>
        </w:sectPr>
      </w:pPr>
    </w:p>
    <w:bookmarkStart w:id="122" w:name="page123"/>
    <w:bookmarkEnd w:id="122"/>
    <w:p>
      <w:pPr>
        <w:ind w:right="40"/>
        <w:spacing w:after="0" w:line="279" w:lineRule="auto"/>
        <w:rPr>
          <w:sz w:val="20"/>
          <w:szCs w:val="20"/>
          <w:color w:val="auto"/>
        </w:rPr>
      </w:pPr>
      <w:r>
        <w:rPr>
          <w:rFonts w:ascii="Arial" w:cs="Arial" w:eastAsia="Arial" w:hAnsi="Arial"/>
          <w:sz w:val="17"/>
          <w:szCs w:val="17"/>
          <w:color w:val="auto"/>
        </w:rPr>
        <w:t>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225" w:lineRule="exact"/>
        <w:rPr>
          <w:sz w:val="20"/>
          <w:szCs w:val="20"/>
          <w:color w:val="auto"/>
        </w:rPr>
      </w:pPr>
    </w:p>
    <w:p>
      <w:pPr>
        <w:ind w:right="240" w:firstLine="889"/>
        <w:spacing w:after="0" w:line="277" w:lineRule="auto"/>
        <w:tabs>
          <w:tab w:leader="none" w:pos="112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70" w:lineRule="exact"/>
        <w:rPr>
          <w:rFonts w:ascii="Arial" w:cs="Arial" w:eastAsia="Arial" w:hAnsi="Arial"/>
          <w:sz w:val="18"/>
          <w:szCs w:val="18"/>
          <w:color w:val="auto"/>
        </w:rPr>
      </w:pPr>
    </w:p>
    <w:p>
      <w:pPr>
        <w:jc w:val="both"/>
        <w:ind w:right="120" w:firstLine="889"/>
        <w:spacing w:after="0" w:line="312" w:lineRule="auto"/>
        <w:tabs>
          <w:tab w:leader="none" w:pos="113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46" w:lineRule="exact"/>
        <w:rPr>
          <w:rFonts w:ascii="Arial" w:cs="Arial" w:eastAsia="Arial" w:hAnsi="Arial"/>
          <w:sz w:val="16"/>
          <w:szCs w:val="16"/>
          <w:color w:val="auto"/>
        </w:rPr>
      </w:pPr>
    </w:p>
    <w:p>
      <w:pPr>
        <w:ind w:right="40" w:firstLine="889"/>
        <w:spacing w:after="0" w:line="277" w:lineRule="auto"/>
        <w:tabs>
          <w:tab w:leader="none" w:pos="112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an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47" w:lineRule="exact"/>
        <w:rPr>
          <w:sz w:val="20"/>
          <w:szCs w:val="20"/>
          <w:color w:val="auto"/>
        </w:rPr>
      </w:pPr>
    </w:p>
    <w:p>
      <w:pPr>
        <w:ind w:left="1140" w:hanging="251"/>
        <w:spacing w:after="0"/>
        <w:tabs>
          <w:tab w:leader="none" w:pos="11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225" w:lineRule="exact"/>
        <w:rPr>
          <w:rFonts w:ascii="Arial" w:cs="Arial" w:eastAsia="Arial" w:hAnsi="Arial"/>
          <w:sz w:val="18"/>
          <w:szCs w:val="18"/>
          <w:color w:val="auto"/>
        </w:rPr>
      </w:pPr>
    </w:p>
    <w:p>
      <w:pPr>
        <w:ind w:left="440" w:right="20" w:firstLine="449"/>
        <w:spacing w:after="0" w:line="277" w:lineRule="auto"/>
        <w:tabs>
          <w:tab w:leader="none" w:pos="113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70" w:lineRule="exact"/>
        <w:rPr>
          <w:rFonts w:ascii="Arial" w:cs="Arial" w:eastAsia="Arial" w:hAnsi="Arial"/>
          <w:sz w:val="18"/>
          <w:szCs w:val="18"/>
          <w:color w:val="auto"/>
        </w:rPr>
      </w:pPr>
    </w:p>
    <w:p>
      <w:pPr>
        <w:ind w:left="440" w:right="60" w:firstLine="449"/>
        <w:spacing w:after="0" w:line="277" w:lineRule="auto"/>
        <w:tabs>
          <w:tab w:leader="none" w:pos="113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70" w:lineRule="exact"/>
        <w:rPr>
          <w:rFonts w:ascii="Arial" w:cs="Arial" w:eastAsia="Arial" w:hAnsi="Arial"/>
          <w:sz w:val="18"/>
          <w:szCs w:val="18"/>
          <w:color w:val="auto"/>
        </w:rPr>
      </w:pPr>
    </w:p>
    <w:p>
      <w:pPr>
        <w:ind w:left="440" w:right="20" w:firstLine="449"/>
        <w:spacing w:after="0" w:line="264" w:lineRule="auto"/>
        <w:tabs>
          <w:tab w:leader="none" w:pos="113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7" w:lineRule="exact"/>
        <w:rPr>
          <w:sz w:val="20"/>
          <w:szCs w:val="20"/>
          <w:color w:val="auto"/>
        </w:rPr>
      </w:pPr>
    </w:p>
    <w:p>
      <w:pPr>
        <w:ind w:firstLine="889"/>
        <w:spacing w:after="0" w:line="287" w:lineRule="auto"/>
        <w:tabs>
          <w:tab w:leader="none" w:pos="112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72" w:lineRule="exact"/>
        <w:rPr>
          <w:rFonts w:ascii="Arial" w:cs="Arial" w:eastAsia="Arial" w:hAnsi="Arial"/>
          <w:sz w:val="16"/>
          <w:szCs w:val="16"/>
          <w:color w:val="auto"/>
        </w:rPr>
      </w:pPr>
    </w:p>
    <w:p>
      <w:pPr>
        <w:ind w:right="120" w:firstLine="889"/>
        <w:spacing w:after="0" w:line="312" w:lineRule="auto"/>
        <w:tabs>
          <w:tab w:leader="none" w:pos="110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right="40" w:firstLine="889"/>
        <w:spacing w:after="0" w:line="255" w:lineRule="auto"/>
        <w:tabs>
          <w:tab w:leader="none" w:pos="112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9" w:lineRule="exact"/>
        <w:rPr>
          <w:rFonts w:ascii="Arial" w:cs="Arial" w:eastAsia="Arial" w:hAnsi="Arial"/>
          <w:sz w:val="18"/>
          <w:szCs w:val="18"/>
          <w:color w:val="auto"/>
        </w:rPr>
      </w:pPr>
    </w:p>
    <w:p>
      <w:pPr>
        <w:ind w:right="40" w:firstLine="889"/>
        <w:spacing w:after="0" w:line="257" w:lineRule="auto"/>
        <w:tabs>
          <w:tab w:leader="none" w:pos="113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w:t>
      </w:r>
    </w:p>
    <w:p>
      <w:pPr>
        <w:sectPr>
          <w:pgSz w:w="11900" w:h="16838" w:orient="portrait"/>
          <w:cols w:equalWidth="0" w:num="1">
            <w:col w:w="11420"/>
          </w:cols>
          <w:pgMar w:left="240" w:top="125" w:right="239" w:bottom="123"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123" w:name="page124"/>
    <w:bookmarkEnd w:id="123"/>
    <w:p>
      <w:pPr>
        <w:ind w:right="20"/>
        <w:spacing w:after="0" w:line="287" w:lineRule="auto"/>
        <w:rPr>
          <w:sz w:val="20"/>
          <w:szCs w:val="20"/>
          <w:color w:val="auto"/>
        </w:rPr>
      </w:pPr>
      <w:r>
        <w:rPr>
          <w:rFonts w:ascii="Arial" w:cs="Arial" w:eastAsia="Arial" w:hAnsi="Arial"/>
          <w:sz w:val="16"/>
          <w:szCs w:val="16"/>
          <w:color w:val="auto"/>
        </w:rPr>
        <w:t>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73" w:lineRule="exact"/>
        <w:rPr>
          <w:sz w:val="20"/>
          <w:szCs w:val="20"/>
          <w:color w:val="auto"/>
        </w:rPr>
      </w:pPr>
    </w:p>
    <w:p>
      <w:pPr>
        <w:ind w:right="280" w:firstLine="889"/>
        <w:spacing w:after="0" w:line="342" w:lineRule="auto"/>
        <w:tabs>
          <w:tab w:leader="none" w:pos="112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23" w:lineRule="exact"/>
        <w:rPr>
          <w:rFonts w:ascii="Arial" w:cs="Arial" w:eastAsia="Arial" w:hAnsi="Arial"/>
          <w:sz w:val="16"/>
          <w:szCs w:val="16"/>
          <w:color w:val="auto"/>
        </w:rPr>
      </w:pPr>
    </w:p>
    <w:p>
      <w:pPr>
        <w:ind w:right="120" w:firstLine="889"/>
        <w:spacing w:after="0" w:line="277" w:lineRule="auto"/>
        <w:tabs>
          <w:tab w:leader="none" w:pos="113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67"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69"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81"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66"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70" w:lineRule="exact"/>
        <w:rPr>
          <w:sz w:val="20"/>
          <w:szCs w:val="20"/>
          <w:color w:val="auto"/>
        </w:rPr>
      </w:pPr>
    </w:p>
    <w:p>
      <w:pPr>
        <w:ind w:right="540" w:firstLine="441"/>
        <w:spacing w:after="0" w:line="34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therein referred to in the within- mentioned Indenture.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ectPr>
          <w:pgSz w:w="11900" w:h="16838" w:orient="portrait"/>
          <w:cols w:equalWidth="0" w:num="1">
            <w:col w:w="11420"/>
          </w:cols>
          <w:pgMar w:left="240" w:top="341" w:right="239" w:bottom="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Dated:</w:t>
            </w:r>
          </w:p>
        </w:tc>
        <w:tc>
          <w:tcPr>
            <w:tcW w:w="4700" w:type="dxa"/>
            <w:vAlign w:val="bottom"/>
          </w:tcPr>
          <w:p>
            <w:pPr>
              <w:spacing w:after="0"/>
              <w:rPr>
                <w:sz w:val="20"/>
                <w:szCs w:val="20"/>
                <w:color w:val="auto"/>
              </w:rPr>
            </w:pP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24"/>
        </w:trPr>
        <w:tc>
          <w:tcPr>
            <w:tcW w:w="800" w:type="dxa"/>
            <w:vAlign w:val="bottom"/>
          </w:tcPr>
          <w:p>
            <w:pPr>
              <w:spacing w:after="0"/>
              <w:rPr>
                <w:sz w:val="19"/>
                <w:szCs w:val="19"/>
                <w:color w:val="auto"/>
              </w:rPr>
            </w:pPr>
          </w:p>
        </w:tc>
        <w:tc>
          <w:tcPr>
            <w:tcW w:w="47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 Authenticating Agent</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Dated:</w:t>
            </w:r>
          </w:p>
        </w:tc>
        <w:tc>
          <w:tcPr>
            <w:tcW w:w="4700" w:type="dxa"/>
            <w:vAlign w:val="bottom"/>
          </w:tcPr>
          <w:p>
            <w:pPr>
              <w:spacing w:after="0"/>
              <w:rPr>
                <w:sz w:val="24"/>
                <w:szCs w:val="24"/>
                <w:color w:val="auto"/>
              </w:rPr>
            </w:pP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24"/>
        </w:trPr>
        <w:tc>
          <w:tcPr>
            <w:tcW w:w="800" w:type="dxa"/>
            <w:vAlign w:val="bottom"/>
          </w:tcPr>
          <w:p>
            <w:pPr>
              <w:spacing w:after="0"/>
              <w:rPr>
                <w:sz w:val="19"/>
                <w:szCs w:val="19"/>
                <w:color w:val="auto"/>
              </w:rPr>
            </w:pPr>
          </w:p>
        </w:tc>
        <w:tc>
          <w:tcPr>
            <w:tcW w:w="47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 Authenticating Agent</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Certain Duties and Responsibilities of the Trustee</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With respect to the Securities of any series, except during the continuance of an Event of Default with respect to the Securities of such series:</w:t>
      </w:r>
    </w:p>
    <w:p>
      <w:pPr>
        <w:spacing w:after="0" w:line="248" w:lineRule="exact"/>
        <w:rPr>
          <w:sz w:val="20"/>
          <w:szCs w:val="20"/>
          <w:color w:val="auto"/>
        </w:rPr>
      </w:pPr>
    </w:p>
    <w:p>
      <w:pPr>
        <w:ind w:left="440" w:right="140" w:firstLine="449"/>
        <w:spacing w:after="0" w:line="277" w:lineRule="auto"/>
        <w:tabs>
          <w:tab w:leader="none" w:pos="11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70" w:lineRule="exact"/>
        <w:rPr>
          <w:rFonts w:ascii="Arial" w:cs="Arial" w:eastAsia="Arial" w:hAnsi="Arial"/>
          <w:sz w:val="18"/>
          <w:szCs w:val="18"/>
          <w:color w:val="auto"/>
        </w:rPr>
      </w:pPr>
    </w:p>
    <w:p>
      <w:pPr>
        <w:ind w:left="440" w:right="60" w:firstLine="449"/>
        <w:spacing w:after="0" w:line="257" w:lineRule="auto"/>
        <w:tabs>
          <w:tab w:leader="none" w:pos="11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88" w:lineRule="exact"/>
        <w:rPr>
          <w:rFonts w:ascii="Arial" w:cs="Arial" w:eastAsia="Arial" w:hAnsi="Arial"/>
          <w:sz w:val="18"/>
          <w:szCs w:val="18"/>
          <w:color w:val="auto"/>
        </w:rPr>
      </w:pPr>
    </w:p>
    <w:p>
      <w:pPr>
        <w:ind w:right="140" w:firstLine="889"/>
        <w:spacing w:after="0" w:line="264" w:lineRule="auto"/>
        <w:tabs>
          <w:tab w:leader="none" w:pos="1136"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889"/>
        <w:spacing w:after="0" w:line="277" w:lineRule="auto"/>
        <w:tabs>
          <w:tab w:leader="none" w:pos="112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sz w:val="20"/>
          <w:szCs w:val="20"/>
          <w:color w:val="auto"/>
        </w:rPr>
      </w:pPr>
    </w:p>
    <w:p>
      <w:pPr>
        <w:ind w:left="1140" w:hanging="251"/>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this Subsection shall not be construed to limit the effect of Subsection (a) of this Section;</w:t>
      </w:r>
    </w:p>
    <w:p>
      <w:pPr>
        <w:spacing w:after="0" w:line="225" w:lineRule="exact"/>
        <w:rPr>
          <w:rFonts w:ascii="Arial" w:cs="Arial" w:eastAsia="Arial" w:hAnsi="Arial"/>
          <w:sz w:val="18"/>
          <w:szCs w:val="18"/>
          <w:color w:val="auto"/>
        </w:rPr>
      </w:pPr>
    </w:p>
    <w:p>
      <w:pPr>
        <w:ind w:right="60" w:firstLine="889"/>
        <w:spacing w:after="0" w:line="277" w:lineRule="auto"/>
        <w:tabs>
          <w:tab w:leader="none" w:pos="113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70" w:lineRule="exact"/>
        <w:rPr>
          <w:rFonts w:ascii="Arial" w:cs="Arial" w:eastAsia="Arial" w:hAnsi="Arial"/>
          <w:sz w:val="18"/>
          <w:szCs w:val="18"/>
          <w:color w:val="auto"/>
        </w:rPr>
      </w:pPr>
    </w:p>
    <w:p>
      <w:pPr>
        <w:jc w:val="both"/>
        <w:ind w:right="60" w:firstLine="889"/>
        <w:spacing w:after="0" w:line="259" w:lineRule="auto"/>
        <w:tabs>
          <w:tab w:leader="none" w:pos="113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186" w:lineRule="exact"/>
        <w:rPr>
          <w:rFonts w:ascii="Arial" w:cs="Arial" w:eastAsia="Arial" w:hAnsi="Arial"/>
          <w:sz w:val="18"/>
          <w:szCs w:val="18"/>
          <w:color w:val="auto"/>
        </w:rPr>
      </w:pPr>
    </w:p>
    <w:p>
      <w:pPr>
        <w:ind w:right="80" w:firstLine="889"/>
        <w:spacing w:after="0" w:line="257" w:lineRule="auto"/>
        <w:tabs>
          <w:tab w:leader="none" w:pos="113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88" w:lineRule="exact"/>
        <w:rPr>
          <w:sz w:val="20"/>
          <w:szCs w:val="20"/>
          <w:color w:val="auto"/>
        </w:rPr>
      </w:pPr>
    </w:p>
    <w:p>
      <w:pPr>
        <w:ind w:right="80" w:firstLine="889"/>
        <w:spacing w:after="0" w:line="277" w:lineRule="auto"/>
        <w:tabs>
          <w:tab w:leader="none" w:pos="113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70" w:lineRule="exact"/>
        <w:rPr>
          <w:rFonts w:ascii="Arial" w:cs="Arial" w:eastAsia="Arial" w:hAnsi="Arial"/>
          <w:sz w:val="18"/>
          <w:szCs w:val="18"/>
          <w:color w:val="auto"/>
        </w:rPr>
      </w:pPr>
    </w:p>
    <w:p>
      <w:pPr>
        <w:ind w:right="360" w:firstLine="889"/>
        <w:spacing w:after="0" w:line="308" w:lineRule="auto"/>
        <w:tabs>
          <w:tab w:leader="none" w:pos="1123"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SEVEN - HOLDERS’ LISTS AND REPORTS BY TRUSTEE AND COMPANY</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Disclosure of Names and Addresses of Holders</w:t>
      </w:r>
      <w:r>
        <w:rPr>
          <w:rFonts w:ascii="Arial" w:cs="Arial" w:eastAsia="Arial" w:hAnsi="Arial"/>
          <w:sz w:val="18"/>
          <w:szCs w:val="18"/>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88" w:lineRule="exact"/>
        <w:rPr>
          <w:sz w:val="20"/>
          <w:szCs w:val="20"/>
          <w:color w:val="auto"/>
        </w:rPr>
      </w:pPr>
    </w:p>
    <w:p>
      <w:pPr>
        <w:ind w:right="300" w:firstLine="441"/>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Reports by Trustee</w:t>
      </w:r>
      <w:r>
        <w:rPr>
          <w:rFonts w:ascii="Arial" w:cs="Arial" w:eastAsia="Arial" w:hAnsi="Arial"/>
          <w:sz w:val="16"/>
          <w:szCs w:val="16"/>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w:t>
      </w:r>
    </w:p>
    <w:p>
      <w:pPr>
        <w:ind w:right="20"/>
        <w:spacing w:after="0" w:line="277" w:lineRule="auto"/>
        <w:rPr>
          <w:sz w:val="20"/>
          <w:szCs w:val="20"/>
          <w:color w:val="auto"/>
        </w:rPr>
      </w:pPr>
      <w:r>
        <w:rPr>
          <w:rFonts w:ascii="Arial" w:cs="Arial" w:eastAsia="Arial" w:hAnsi="Arial"/>
          <w:sz w:val="17"/>
          <w:szCs w:val="17"/>
          <w:color w:val="auto"/>
        </w:rPr>
        <w:t>commencing on , 20 .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Company</w:t>
      </w:r>
      <w:r>
        <w:rPr>
          <w:rFonts w:ascii="Arial" w:cs="Arial" w:eastAsia="Arial" w:hAnsi="Arial"/>
          <w:sz w:val="18"/>
          <w:szCs w:val="18"/>
          <w:color w:val="auto"/>
        </w:rPr>
        <w:t>. The Company will:</w:t>
      </w:r>
    </w:p>
    <w:p>
      <w:pPr>
        <w:spacing w:after="0" w:line="225" w:lineRule="exact"/>
        <w:rPr>
          <w:sz w:val="20"/>
          <w:szCs w:val="20"/>
          <w:color w:val="auto"/>
        </w:rPr>
      </w:pPr>
    </w:p>
    <w:p>
      <w:pPr>
        <w:ind w:left="440" w:right="40" w:firstLine="449"/>
        <w:spacing w:after="0" w:line="291" w:lineRule="auto"/>
        <w:tabs>
          <w:tab w:leader="none" w:pos="113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ectPr>
          <w:pgSz w:w="11900" w:h="16838" w:orient="portrait"/>
          <w:cols w:equalWidth="0" w:num="1">
            <w:col w:w="11420"/>
          </w:cols>
          <w:pgMar w:left="240" w:top="125" w:right="239" w:bottom="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120" w:firstLine="449"/>
        <w:spacing w:after="0" w:line="264" w:lineRule="auto"/>
        <w:tabs>
          <w:tab w:leader="none" w:pos="113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81" w:lineRule="exact"/>
        <w:rPr>
          <w:rFonts w:ascii="Arial" w:cs="Arial" w:eastAsia="Arial" w:hAnsi="Arial"/>
          <w:sz w:val="18"/>
          <w:szCs w:val="18"/>
          <w:color w:val="auto"/>
        </w:rPr>
      </w:pPr>
    </w:p>
    <w:p>
      <w:pPr>
        <w:jc w:val="both"/>
        <w:ind w:left="440" w:right="60" w:firstLine="449"/>
        <w:spacing w:after="0" w:line="291" w:lineRule="auto"/>
        <w:tabs>
          <w:tab w:leader="none" w:pos="1136"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w:t>
      </w:r>
    </w:p>
    <w:p>
      <w:pPr>
        <w:ind w:left="700" w:hanging="252"/>
        <w:spacing w:after="0"/>
        <w:tabs>
          <w:tab w:leader="none" w:pos="7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of this Section as may be required by rules and regulations prescribed from time to time by the Commission; and</w:t>
      </w:r>
    </w:p>
    <w:p>
      <w:pPr>
        <w:spacing w:after="0" w:line="210" w:lineRule="exact"/>
        <w:rPr>
          <w:rFonts w:ascii="Arial" w:cs="Arial" w:eastAsia="Arial" w:hAnsi="Arial"/>
          <w:sz w:val="18"/>
          <w:szCs w:val="18"/>
          <w:color w:val="auto"/>
        </w:rPr>
      </w:pPr>
    </w:p>
    <w:p>
      <w:pPr>
        <w:jc w:val="both"/>
        <w:ind w:left="440" w:right="200" w:firstLine="449"/>
        <w:spacing w:after="0" w:line="286" w:lineRule="auto"/>
        <w:tabs>
          <w:tab w:leader="none" w:pos="1136" w:val="left"/>
        </w:tabs>
        <w:numPr>
          <w:ilvl w:val="1"/>
          <w:numId w:val="180"/>
        </w:numPr>
        <w:rPr>
          <w:rFonts w:ascii="Arial" w:cs="Arial" w:eastAsia="Arial" w:hAnsi="Arial"/>
          <w:sz w:val="17"/>
          <w:szCs w:val="17"/>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Company to Furnish Trustee Names and Addresses of Holders</w:t>
      </w:r>
      <w:r>
        <w:rPr>
          <w:rFonts w:ascii="Arial" w:cs="Arial" w:eastAsia="Arial" w:hAnsi="Arial"/>
          <w:sz w:val="17"/>
          <w:szCs w:val="17"/>
          <w:color w:val="auto"/>
        </w:rPr>
        <w:t>. The Company will furnish or cause to be furnished to the Trustee:</w:t>
      </w:r>
    </w:p>
    <w:p>
      <w:pPr>
        <w:spacing w:after="0" w:line="237" w:lineRule="exact"/>
        <w:rPr>
          <w:sz w:val="20"/>
          <w:szCs w:val="20"/>
          <w:color w:val="auto"/>
        </w:rPr>
      </w:pPr>
    </w:p>
    <w:p>
      <w:pPr>
        <w:ind w:right="140" w:firstLine="889"/>
        <w:spacing w:after="0" w:line="259" w:lineRule="auto"/>
        <w:tabs>
          <w:tab w:leader="none" w:pos="112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86" w:lineRule="exact"/>
        <w:rPr>
          <w:rFonts w:ascii="Arial" w:cs="Arial" w:eastAsia="Arial" w:hAnsi="Arial"/>
          <w:sz w:val="18"/>
          <w:szCs w:val="18"/>
          <w:color w:val="auto"/>
        </w:rPr>
      </w:pPr>
    </w:p>
    <w:p>
      <w:pPr>
        <w:ind w:right="20" w:firstLine="889"/>
        <w:spacing w:after="0" w:line="264" w:lineRule="auto"/>
        <w:tabs>
          <w:tab w:leader="none" w:pos="113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the Trustee is the Security Registrar, no such list shall be required to be furnished.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EIGHT - CONSOLIDATION, MERGER, SALE, LEASE OR CONVEYANCE</w:t>
      </w:r>
    </w:p>
    <w:p>
      <w:pPr>
        <w:spacing w:after="0" w:line="22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Consolidations and Mergers of Company and Sales, Leases and Conveyances Permitted Subject to Certain Conditions</w:t>
      </w:r>
      <w:r>
        <w:rPr>
          <w:rFonts w:ascii="Arial" w:cs="Arial" w:eastAsia="Arial" w:hAnsi="Arial"/>
          <w:sz w:val="16"/>
          <w:szCs w:val="16"/>
          <w:color w:val="auto"/>
        </w:rPr>
        <w:t>. 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as a result thereof as having been incurred by the Company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69"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Rights and Duties of Successor Corporation</w:t>
      </w:r>
      <w:r>
        <w:rPr>
          <w:rFonts w:ascii="Arial" w:cs="Arial" w:eastAsia="Arial" w:hAnsi="Arial"/>
          <w:sz w:val="16"/>
          <w:szCs w:val="16"/>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7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Officers’ Certificate and Opinion of Counsel</w:t>
      </w:r>
      <w:r>
        <w:rPr>
          <w:rFonts w:ascii="Arial" w:cs="Arial" w:eastAsia="Arial" w:hAnsi="Arial"/>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NINE - SUPPLEMENTAL INDENTURES</w:t>
      </w:r>
    </w:p>
    <w:p>
      <w:pPr>
        <w:spacing w:after="0" w:line="225"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81" w:lineRule="exact"/>
        <w:rPr>
          <w:sz w:val="20"/>
          <w:szCs w:val="20"/>
          <w:color w:val="auto"/>
        </w:rPr>
      </w:pPr>
    </w:p>
    <w:p>
      <w:pPr>
        <w:ind w:left="440" w:right="340" w:firstLine="449"/>
        <w:spacing w:after="0" w:line="277" w:lineRule="auto"/>
        <w:tabs>
          <w:tab w:leader="none" w:pos="113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 or</w:t>
      </w:r>
    </w:p>
    <w:p>
      <w:pPr>
        <w:spacing w:after="0" w:line="170" w:lineRule="exact"/>
        <w:rPr>
          <w:rFonts w:ascii="Arial" w:cs="Arial" w:eastAsia="Arial" w:hAnsi="Arial"/>
          <w:sz w:val="18"/>
          <w:szCs w:val="18"/>
          <w:color w:val="auto"/>
        </w:rPr>
      </w:pPr>
    </w:p>
    <w:p>
      <w:pPr>
        <w:jc w:val="both"/>
        <w:ind w:left="440" w:right="80" w:firstLine="449"/>
        <w:spacing w:after="0" w:line="264" w:lineRule="auto"/>
        <w:tabs>
          <w:tab w:leader="none" w:pos="113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ectPr>
          <w:pgSz w:w="11900" w:h="16838" w:orient="portrait"/>
          <w:cols w:equalWidth="0" w:num="1">
            <w:col w:w="11400"/>
          </w:cols>
          <w:pgMar w:left="240" w:top="125" w:right="259" w:bottom="0" w:gutter="0" w:footer="0" w:header="0"/>
        </w:sectPr>
      </w:pPr>
    </w:p>
    <w:bookmarkStart w:id="126" w:name="page127"/>
    <w:bookmarkEnd w:id="126"/>
    <w:p>
      <w:pPr>
        <w:spacing w:after="0" w:line="69" w:lineRule="exact"/>
        <w:rPr>
          <w:sz w:val="20"/>
          <w:szCs w:val="20"/>
          <w:color w:val="auto"/>
        </w:rPr>
      </w:pPr>
    </w:p>
    <w:p>
      <w:pPr>
        <w:ind w:left="440" w:right="80" w:firstLine="449"/>
        <w:spacing w:after="0" w:line="293" w:lineRule="auto"/>
        <w:tabs>
          <w:tab w:leader="none" w:pos="113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64" w:lineRule="exact"/>
        <w:rPr>
          <w:rFonts w:ascii="Arial" w:cs="Arial" w:eastAsia="Arial" w:hAnsi="Arial"/>
          <w:sz w:val="16"/>
          <w:szCs w:val="16"/>
          <w:color w:val="auto"/>
        </w:rPr>
      </w:pPr>
    </w:p>
    <w:p>
      <w:pPr>
        <w:ind w:left="440" w:right="100" w:firstLine="449"/>
        <w:spacing w:after="0" w:line="276" w:lineRule="auto"/>
        <w:tabs>
          <w:tab w:leader="none" w:pos="113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action shall not adversely affect the interests of the Holders of Securities of any series or any related coupons in any material respect; or</w:t>
      </w:r>
    </w:p>
    <w:p>
      <w:pPr>
        <w:spacing w:after="0" w:line="172" w:lineRule="exact"/>
        <w:rPr>
          <w:rFonts w:ascii="Arial" w:cs="Arial" w:eastAsia="Arial" w:hAnsi="Arial"/>
          <w:sz w:val="17"/>
          <w:szCs w:val="17"/>
          <w:color w:val="auto"/>
        </w:rPr>
      </w:pPr>
    </w:p>
    <w:p>
      <w:pPr>
        <w:ind w:left="440" w:right="60" w:firstLine="449"/>
        <w:spacing w:after="0" w:line="264" w:lineRule="auto"/>
        <w:tabs>
          <w:tab w:leader="none" w:pos="113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81" w:lineRule="exact"/>
        <w:rPr>
          <w:rFonts w:ascii="Arial" w:cs="Arial" w:eastAsia="Arial" w:hAnsi="Arial"/>
          <w:sz w:val="18"/>
          <w:szCs w:val="18"/>
          <w:color w:val="auto"/>
        </w:rPr>
      </w:pPr>
    </w:p>
    <w:p>
      <w:pPr>
        <w:ind w:left="1140" w:hanging="251"/>
        <w:spacing w:after="0"/>
        <w:tabs>
          <w:tab w:leader="none" w:pos="11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establish the form or terms of Securities of any series and any related coupons as permitted or contemplated by Sections 201 and 301; or</w:t>
      </w:r>
    </w:p>
    <w:p>
      <w:pPr>
        <w:spacing w:after="0" w:line="248" w:lineRule="exact"/>
        <w:rPr>
          <w:rFonts w:ascii="Arial" w:cs="Arial" w:eastAsia="Arial" w:hAnsi="Arial"/>
          <w:sz w:val="16"/>
          <w:szCs w:val="16"/>
          <w:color w:val="auto"/>
        </w:rPr>
      </w:pPr>
    </w:p>
    <w:p>
      <w:pPr>
        <w:jc w:val="both"/>
        <w:ind w:left="440" w:right="320" w:firstLine="449"/>
        <w:spacing w:after="0" w:line="264" w:lineRule="auto"/>
        <w:tabs>
          <w:tab w:leader="none" w:pos="113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1" w:lineRule="exact"/>
        <w:rPr>
          <w:rFonts w:ascii="Arial" w:cs="Arial" w:eastAsia="Arial" w:hAnsi="Arial"/>
          <w:sz w:val="18"/>
          <w:szCs w:val="18"/>
          <w:color w:val="auto"/>
        </w:rPr>
      </w:pPr>
    </w:p>
    <w:p>
      <w:pPr>
        <w:jc w:val="both"/>
        <w:ind w:left="440" w:right="120" w:firstLine="449"/>
        <w:spacing w:after="0" w:line="259" w:lineRule="auto"/>
        <w:tabs>
          <w:tab w:leader="none" w:pos="113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provisions shall not adversely affect the interests of the Holders of Securities of any series or any related coupons in any material respect; or</w:t>
      </w:r>
    </w:p>
    <w:p>
      <w:pPr>
        <w:spacing w:after="0" w:line="186" w:lineRule="exact"/>
        <w:rPr>
          <w:rFonts w:ascii="Arial" w:cs="Arial" w:eastAsia="Arial" w:hAnsi="Arial"/>
          <w:sz w:val="18"/>
          <w:szCs w:val="18"/>
          <w:color w:val="auto"/>
        </w:rPr>
      </w:pPr>
    </w:p>
    <w:p>
      <w:pPr>
        <w:ind w:left="440" w:right="20" w:firstLine="449"/>
        <w:spacing w:after="0" w:line="277" w:lineRule="auto"/>
        <w:tabs>
          <w:tab w:leader="none" w:pos="122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600"/>
        <w:spacing w:after="0" w:line="277" w:lineRule="auto"/>
        <w:rPr>
          <w:sz w:val="20"/>
          <w:szCs w:val="20"/>
          <w:color w:val="auto"/>
        </w:rPr>
      </w:pPr>
      <w:r>
        <w:rPr>
          <w:rFonts w:ascii="Arial" w:cs="Arial" w:eastAsia="Arial" w:hAnsi="Arial"/>
          <w:sz w:val="18"/>
          <w:szCs w:val="18"/>
          <w:color w:val="auto"/>
        </w:rPr>
        <w:t>shall not adversely affect the interests of the Holders of Securities of such series and any related coupons or any other series of Securities in any material respect; or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(11) to make provisions with respect to Holders’ rights of conversion with respect to any series of Securities pursuant to Article Seventeen.</w:t>
      </w:r>
    </w:p>
    <w:p>
      <w:pPr>
        <w:spacing w:after="0" w:line="23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Security affected thereby:</w:t>
      </w:r>
    </w:p>
    <w:p>
      <w:pPr>
        <w:spacing w:after="0" w:line="193" w:lineRule="exact"/>
        <w:rPr>
          <w:sz w:val="20"/>
          <w:szCs w:val="20"/>
          <w:color w:val="auto"/>
        </w:rPr>
      </w:pPr>
    </w:p>
    <w:p>
      <w:pPr>
        <w:ind w:left="440" w:right="40" w:firstLine="449"/>
        <w:spacing w:after="0" w:line="288" w:lineRule="auto"/>
        <w:tabs>
          <w:tab w:leader="none" w:pos="113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Seventeen, or modify the provisions of this Indenture with respect to the subordination of the Securities in a manner materially adverse to the Holders; or</w:t>
      </w:r>
    </w:p>
    <w:p>
      <w:pPr>
        <w:spacing w:after="0" w:line="169" w:lineRule="exact"/>
        <w:rPr>
          <w:rFonts w:ascii="Arial" w:cs="Arial" w:eastAsia="Arial" w:hAnsi="Arial"/>
          <w:sz w:val="16"/>
          <w:szCs w:val="16"/>
          <w:color w:val="auto"/>
        </w:rPr>
      </w:pPr>
    </w:p>
    <w:p>
      <w:pPr>
        <w:ind w:left="440" w:firstLine="449"/>
        <w:spacing w:after="0" w:line="259" w:lineRule="auto"/>
        <w:tabs>
          <w:tab w:leader="none" w:pos="113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86" w:lineRule="exact"/>
        <w:rPr>
          <w:rFonts w:ascii="Arial" w:cs="Arial" w:eastAsia="Arial" w:hAnsi="Arial"/>
          <w:sz w:val="18"/>
          <w:szCs w:val="18"/>
          <w:color w:val="auto"/>
        </w:rPr>
      </w:pPr>
    </w:p>
    <w:p>
      <w:pPr>
        <w:jc w:val="both"/>
        <w:ind w:left="440" w:right="120" w:firstLine="449"/>
        <w:spacing w:after="0" w:line="257" w:lineRule="auto"/>
        <w:tabs>
          <w:tab w:leader="none" w:pos="113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88"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w:t>
      </w:r>
    </w:p>
    <w:p>
      <w:pPr>
        <w:sectPr>
          <w:pgSz w:w="11900" w:h="16908" w:orient="portrait"/>
          <w:cols w:equalWidth="0" w:num="1">
            <w:col w:w="11400"/>
          </w:cols>
          <w:pgMar w:left="240" w:top="125" w:right="259" w:bottom="0" w:gutter="0" w:footer="0" w:header="0"/>
        </w:sectPr>
      </w:pPr>
    </w:p>
    <w:bookmarkStart w:id="127" w:name="page128"/>
    <w:bookmarkEnd w:id="127"/>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or other provision, shall be deemed not to affect the rights under this Indenture of the Holders of Securities of any other series.</w:t>
      </w:r>
    </w:p>
    <w:p>
      <w:pPr>
        <w:spacing w:after="0" w:line="225" w:lineRule="exact"/>
        <w:rPr>
          <w:sz w:val="20"/>
          <w:szCs w:val="20"/>
          <w:color w:val="auto"/>
        </w:rPr>
      </w:pPr>
    </w:p>
    <w:p>
      <w:pPr>
        <w:jc w:val="both"/>
        <w:ind w:right="20" w:firstLine="441"/>
        <w:spacing w:after="0" w:line="288"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Execution of Supplemental Indentures</w:t>
      </w:r>
      <w:r>
        <w:rPr>
          <w:rFonts w:ascii="Arial" w:cs="Arial" w:eastAsia="Arial" w:hAnsi="Arial"/>
          <w:sz w:val="16"/>
          <w:szCs w:val="16"/>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w:t>
      </w:r>
    </w:p>
    <w:p>
      <w:pPr>
        <w:ind w:right="120"/>
        <w:spacing w:after="0" w:line="261" w:lineRule="auto"/>
        <w:rPr>
          <w:sz w:val="20"/>
          <w:szCs w:val="20"/>
          <w:color w:val="auto"/>
        </w:rPr>
      </w:pPr>
      <w:r>
        <w:rPr>
          <w:rFonts w:ascii="Arial" w:cs="Arial" w:eastAsia="Arial" w:hAnsi="Arial"/>
          <w:sz w:val="18"/>
          <w:szCs w:val="18"/>
          <w:color w:val="auto"/>
        </w:rPr>
        <w:t>The Trustee may, but shall not be obligated to, enter into any such supplemental indenture which affects the Trustee’s own rights, duties or immunities under this Indenture or otherwise.</w:t>
      </w:r>
    </w:p>
    <w:p>
      <w:pPr>
        <w:spacing w:after="0" w:line="184"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 Upon the execution of any supplemental indenture under this Article, this Indenture shall be modified in accordance therewith, and such supplemental indenture shall form a part of this Indenture for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purposes; and every Holder of Securities theretofore or thereafter authenticated and delivered hereunder and of any coupon appertaining thereto shall be bound thereby.</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 as then in effect.</w:t>
      </w:r>
    </w:p>
    <w:p>
      <w:pPr>
        <w:spacing w:after="0" w:line="170"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TEN - COVENANTS</w:t>
      </w:r>
    </w:p>
    <w:p>
      <w:pPr>
        <w:spacing w:after="0" w:line="22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Payment of Principal, Premium or Make-Whole Amount, if any; and Interest</w:t>
      </w:r>
      <w:r>
        <w:rPr>
          <w:rFonts w:ascii="Arial" w:cs="Arial" w:eastAsia="Arial" w:hAnsi="Arial"/>
          <w:sz w:val="16"/>
          <w:szCs w:val="16"/>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67"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xml:space="preserve">.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398"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Unless otherwise specified with respect to any Securities pursuant to Section 301, no payment of principal, premium or Make-Whole Amount or interest on Bearer Securities shall be made at any office or agency of the Company in the United States or by check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mailed to any address in the United States or by transfer to an account maintained with a bank located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58"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designation or rescission shall in any manner relieve the Company of its obligation to maintain an office or agency in accordance with the requirements</w:t>
      </w:r>
    </w:p>
    <w:p>
      <w:pPr>
        <w:sectPr>
          <w:pgSz w:w="11900" w:h="16952" w:orient="portrait"/>
          <w:cols w:equalWidth="0" w:num="1">
            <w:col w:w="11420"/>
          </w:cols>
          <w:pgMar w:left="240" w:top="125" w:right="239" w:bottom="0" w:gutter="0" w:footer="0" w:header="0"/>
        </w:sectPr>
      </w:pPr>
    </w:p>
    <w:bookmarkStart w:id="128" w:name="page129"/>
    <w:bookmarkEnd w:id="128"/>
    <w:p>
      <w:pPr>
        <w:ind w:right="100"/>
        <w:spacing w:after="0" w:line="273" w:lineRule="auto"/>
        <w:rPr>
          <w:sz w:val="20"/>
          <w:szCs w:val="20"/>
          <w:color w:val="auto"/>
        </w:rPr>
      </w:pPr>
      <w:r>
        <w:rPr>
          <w:rFonts w:ascii="Arial" w:cs="Arial" w:eastAsia="Arial" w:hAnsi="Arial"/>
          <w:sz w:val="17"/>
          <w:szCs w:val="17"/>
          <w:color w:val="auto"/>
        </w:rPr>
        <w:t>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78"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47"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Securities Payments to Be Held in Trust</w:t>
      </w:r>
      <w:r>
        <w:rPr>
          <w:rFonts w:ascii="Arial" w:cs="Arial" w:eastAsia="Arial" w:hAnsi="Arial"/>
          <w:sz w:val="16"/>
          <w:szCs w:val="16"/>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6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93"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70" w:lineRule="exact"/>
        <w:rPr>
          <w:sz w:val="20"/>
          <w:szCs w:val="20"/>
          <w:color w:val="auto"/>
        </w:rPr>
      </w:pPr>
    </w:p>
    <w:p>
      <w:pPr>
        <w:ind w:left="440" w:right="40" w:firstLine="449"/>
        <w:spacing w:after="0" w:line="308" w:lineRule="auto"/>
        <w:tabs>
          <w:tab w:leader="none" w:pos="1136" w:val="left"/>
        </w:tabs>
        <w:numPr>
          <w:ilvl w:val="0"/>
          <w:numId w:val="185"/>
        </w:numPr>
        <w:rPr>
          <w:rFonts w:ascii="Arial" w:cs="Arial" w:eastAsia="Arial" w:hAnsi="Arial"/>
          <w:sz w:val="17"/>
          <w:szCs w:val="17"/>
          <w:color w:val="auto"/>
        </w:rPr>
      </w:pPr>
      <w:r>
        <w:rPr>
          <w:rFonts w:ascii="Arial" w:cs="Arial" w:eastAsia="Arial" w:hAnsi="Arial"/>
          <w:sz w:val="17"/>
          <w:szCs w:val="17"/>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46" w:lineRule="exact"/>
        <w:rPr>
          <w:rFonts w:ascii="Arial" w:cs="Arial" w:eastAsia="Arial" w:hAnsi="Arial"/>
          <w:sz w:val="17"/>
          <w:szCs w:val="17"/>
          <w:color w:val="auto"/>
        </w:rPr>
      </w:pPr>
    </w:p>
    <w:p>
      <w:pPr>
        <w:ind w:left="440" w:right="540" w:firstLine="449"/>
        <w:spacing w:after="0" w:line="277" w:lineRule="auto"/>
        <w:tabs>
          <w:tab w:leader="none" w:pos="113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70" w:lineRule="exact"/>
        <w:rPr>
          <w:rFonts w:ascii="Arial" w:cs="Arial" w:eastAsia="Arial" w:hAnsi="Arial"/>
          <w:sz w:val="18"/>
          <w:szCs w:val="18"/>
          <w:color w:val="auto"/>
        </w:rPr>
      </w:pPr>
    </w:p>
    <w:p>
      <w:pPr>
        <w:ind w:left="440" w:right="40" w:firstLine="449"/>
        <w:spacing w:after="0" w:line="277" w:lineRule="auto"/>
        <w:tabs>
          <w:tab w:leader="none" w:pos="113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such Paying Agent; and, upon such payment by any Paying Agent to the Trustee, such Paying Agent shall be released from all further liability with respect to such sums.</w:t>
      </w:r>
    </w:p>
    <w:p>
      <w:pPr>
        <w:spacing w:after="0" w:line="17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78"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Existence</w:t>
      </w:r>
      <w:r>
        <w:rPr>
          <w:rFonts w:ascii="Arial" w:cs="Arial" w:eastAsia="Arial" w:hAnsi="Arial"/>
          <w:sz w:val="18"/>
          <w:szCs w:val="18"/>
          <w:color w:val="auto"/>
        </w:rPr>
        <w:t xml:space="preserve">. Subject to Article Eight, the Company will do or cause to be done all things necessary to preserve and keep in full force and effect its corporate existence, all material rights (by certificate of incorporation, by-laws and statute) and material franchises;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18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xml:space="preserve">. The Company will cause all of its material properties used or useful in the conduct of its business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prevented from (i) removing permanently any property that has been condemned or suffered a loss due to casualty based on the Company’s reasonable judgment that such removal is in the best interest of the Company, or (ii) selling or otherwise disposing of its properties for value in the ordinary course of business.</w:t>
      </w:r>
    </w:p>
    <w:p>
      <w:pPr>
        <w:spacing w:after="0" w:line="17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will cause its insurable properties to be insured against loss or damage in an amount deemed reasonable by the Board of Directors with insurers of recognized responsibility.</w:t>
      </w:r>
    </w:p>
    <w:p>
      <w:pPr>
        <w:sectPr>
          <w:pgSz w:w="11900" w:h="16838" w:orient="portrait"/>
          <w:cols w:equalWidth="0" w:num="1">
            <w:col w:w="11400"/>
          </w:cols>
          <w:pgMar w:left="240" w:top="125" w:right="259" w:bottom="72" w:gutter="0" w:footer="0" w:header="0"/>
        </w:sectPr>
      </w:pPr>
    </w:p>
    <w:bookmarkStart w:id="129" w:name="page130"/>
    <w:bookmarkEnd w:id="129"/>
    <w:p>
      <w:pPr>
        <w:ind w:right="240" w:firstLine="441"/>
        <w:spacing w:after="0" w:line="276"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Payment of Taxes and Other Claims</w:t>
      </w:r>
      <w:r>
        <w:rPr>
          <w:rFonts w:ascii="Arial" w:cs="Arial" w:eastAsia="Arial" w:hAnsi="Arial"/>
          <w:sz w:val="17"/>
          <w:szCs w:val="17"/>
          <w:color w:val="auto"/>
        </w:rPr>
        <w:t xml:space="preserve">. The Company will pay or discharge or cause to be paid or discharged, before the same shall become delinquent, (1) all taxes, assessments and governmental charges levied or imposed upon it or upon the income, profits or property of the Company, and (2) all lawful claims for labor, materials and supplies which, if unpaid, might by law become a lien upon the property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73"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Statement as to Compliance</w:t>
      </w:r>
      <w:r>
        <w:rPr>
          <w:rFonts w:ascii="Arial" w:cs="Arial" w:eastAsia="Arial" w:hAnsi="Arial"/>
          <w:sz w:val="18"/>
          <w:szCs w:val="18"/>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8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ELEVEN - REDEMPTION OF SECURITIES</w:t>
      </w:r>
    </w:p>
    <w:p>
      <w:pPr>
        <w:spacing w:after="0" w:line="225"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Applicability of Article</w:t>
      </w:r>
      <w:r>
        <w:rPr>
          <w:rFonts w:ascii="Arial" w:cs="Arial" w:eastAsia="Arial" w:hAnsi="Arial"/>
          <w:sz w:val="16"/>
          <w:szCs w:val="16"/>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2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93"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93"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2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8"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140" w:hanging="251"/>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Redemption Price, accrued interest to the Redemption Date payable as provided in Section 1106, if any,</w:t>
      </w:r>
    </w:p>
    <w:p>
      <w:pPr>
        <w:spacing w:after="0" w:line="225" w:lineRule="exact"/>
        <w:rPr>
          <w:rFonts w:ascii="Arial" w:cs="Arial" w:eastAsia="Arial" w:hAnsi="Arial"/>
          <w:sz w:val="18"/>
          <w:szCs w:val="18"/>
          <w:color w:val="auto"/>
        </w:rPr>
      </w:pPr>
    </w:p>
    <w:p>
      <w:pPr>
        <w:ind w:left="440" w:right="140" w:firstLine="449"/>
        <w:spacing w:after="0" w:line="277" w:lineRule="auto"/>
        <w:tabs>
          <w:tab w:leader="none" w:pos="11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170" w:lineRule="exact"/>
        <w:rPr>
          <w:rFonts w:ascii="Arial" w:cs="Arial" w:eastAsia="Arial" w:hAnsi="Arial"/>
          <w:sz w:val="18"/>
          <w:szCs w:val="18"/>
          <w:color w:val="auto"/>
        </w:rPr>
      </w:pPr>
    </w:p>
    <w:p>
      <w:pPr>
        <w:ind w:left="440" w:right="60" w:firstLine="449"/>
        <w:spacing w:after="0" w:line="264" w:lineRule="auto"/>
        <w:tabs>
          <w:tab w:leader="none" w:pos="11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81" w:lineRule="exact"/>
        <w:rPr>
          <w:rFonts w:ascii="Arial" w:cs="Arial" w:eastAsia="Arial" w:hAnsi="Arial"/>
          <w:sz w:val="18"/>
          <w:szCs w:val="18"/>
          <w:color w:val="auto"/>
        </w:rPr>
      </w:pPr>
    </w:p>
    <w:p>
      <w:pPr>
        <w:ind w:left="440" w:right="160" w:firstLine="449"/>
        <w:spacing w:after="0" w:line="264" w:lineRule="auto"/>
        <w:tabs>
          <w:tab w:leader="none" w:pos="11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30" w:name="page131"/>
    <w:bookmarkEnd w:id="130"/>
    <w:p>
      <w:pPr>
        <w:ind w:left="440" w:right="220" w:firstLine="449"/>
        <w:spacing w:after="0" w:line="342" w:lineRule="auto"/>
        <w:tabs>
          <w:tab w:leader="none" w:pos="1136"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23" w:lineRule="exact"/>
        <w:rPr>
          <w:rFonts w:ascii="Arial" w:cs="Arial" w:eastAsia="Arial" w:hAnsi="Arial"/>
          <w:sz w:val="16"/>
          <w:szCs w:val="16"/>
          <w:color w:val="auto"/>
        </w:rPr>
      </w:pPr>
    </w:p>
    <w:p>
      <w:pPr>
        <w:ind w:left="1140" w:hanging="251"/>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225" w:lineRule="exact"/>
        <w:rPr>
          <w:rFonts w:ascii="Arial" w:cs="Arial" w:eastAsia="Arial" w:hAnsi="Arial"/>
          <w:sz w:val="18"/>
          <w:szCs w:val="18"/>
          <w:color w:val="auto"/>
        </w:rPr>
      </w:pPr>
    </w:p>
    <w:p>
      <w:pPr>
        <w:ind w:left="440" w:right="100" w:firstLine="449"/>
        <w:spacing w:after="0" w:line="312" w:lineRule="auto"/>
        <w:tabs>
          <w:tab w:leader="none" w:pos="1136"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146" w:lineRule="exact"/>
        <w:rPr>
          <w:rFonts w:ascii="Arial" w:cs="Arial" w:eastAsia="Arial" w:hAnsi="Arial"/>
          <w:sz w:val="16"/>
          <w:szCs w:val="16"/>
          <w:color w:val="auto"/>
        </w:rPr>
      </w:pPr>
    </w:p>
    <w:p>
      <w:pPr>
        <w:ind w:left="440" w:right="40" w:firstLine="449"/>
        <w:spacing w:after="0" w:line="264" w:lineRule="auto"/>
        <w:tabs>
          <w:tab w:leader="none" w:pos="113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181" w:lineRule="exact"/>
        <w:rPr>
          <w:rFonts w:ascii="Arial" w:cs="Arial" w:eastAsia="Arial" w:hAnsi="Arial"/>
          <w:sz w:val="18"/>
          <w:szCs w:val="18"/>
          <w:color w:val="auto"/>
        </w:rPr>
      </w:pPr>
    </w:p>
    <w:p>
      <w:pPr>
        <w:ind w:left="1240" w:hanging="351"/>
        <w:spacing w:after="0"/>
        <w:tabs>
          <w:tab w:leader="none" w:pos="12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CUSIP number of such Security, if any, and</w:t>
      </w:r>
    </w:p>
    <w:p>
      <w:pPr>
        <w:spacing w:after="0" w:line="225" w:lineRule="exact"/>
        <w:rPr>
          <w:rFonts w:ascii="Arial" w:cs="Arial" w:eastAsia="Arial" w:hAnsi="Arial"/>
          <w:sz w:val="18"/>
          <w:szCs w:val="18"/>
          <w:color w:val="auto"/>
        </w:rPr>
      </w:pPr>
    </w:p>
    <w:p>
      <w:pPr>
        <w:ind w:left="440" w:right="300" w:firstLine="449"/>
        <w:spacing w:after="0" w:line="264" w:lineRule="auto"/>
        <w:tabs>
          <w:tab w:leader="none" w:pos="121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93"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81"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Securities Payable on Redemption Date</w:t>
      </w:r>
      <w:r>
        <w:rPr>
          <w:rFonts w:ascii="Arial" w:cs="Arial" w:eastAsia="Arial" w:hAnsi="Arial"/>
          <w:sz w:val="17"/>
          <w:szCs w:val="17"/>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If any Bearer Security surrendered for redemption shall not be accompanied by all appurtenant coupons maturing after the Redemption Date, such Security may be paid after deducting from the Redemption Price an amount equal to the face amount of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3"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70"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Securities Redeemed in Part</w:t>
      </w:r>
      <w:r>
        <w:rPr>
          <w:rFonts w:ascii="Arial" w:cs="Arial" w:eastAsia="Arial" w:hAnsi="Arial"/>
          <w:sz w:val="17"/>
          <w:szCs w:val="17"/>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ectPr>
          <w:pgSz w:w="11900" w:h="16838" w:orient="portrait"/>
          <w:cols w:equalWidth="0" w:num="1">
            <w:col w:w="11420"/>
          </w:cols>
          <w:pgMar w:left="240" w:top="584" w:right="239" w:bottom="0" w:gutter="0" w:footer="0" w:header="0"/>
        </w:sectPr>
      </w:pPr>
    </w:p>
    <w:bookmarkStart w:id="131" w:name="page132"/>
    <w:bookmarkEnd w:id="131"/>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TWELVE - SINKING FUNDS</w:t>
      </w:r>
    </w:p>
    <w:p>
      <w:pPr>
        <w:spacing w:after="0" w:line="22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70"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8"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Satisfaction of Sinking Fund Payments with Securities</w:t>
      </w:r>
      <w:r>
        <w:rPr>
          <w:rFonts w:ascii="Arial" w:cs="Arial" w:eastAsia="Arial" w:hAnsi="Arial"/>
          <w:sz w:val="17"/>
          <w:szCs w:val="17"/>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7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u w:val="single" w:color="auto"/>
          <w:color w:val="auto"/>
        </w:rPr>
        <w:t>Redemption of Securities for Sinking Fund</w:t>
      </w:r>
      <w:r>
        <w:rPr>
          <w:rFonts w:ascii="Arial" w:cs="Arial" w:eastAsia="Arial" w:hAnsi="Arial"/>
          <w:sz w:val="17"/>
          <w:szCs w:val="17"/>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THIRTEEN - REPAYMENT AT THE OPTION OF HOLDERS</w:t>
      </w:r>
    </w:p>
    <w:p>
      <w:pPr>
        <w:spacing w:after="0" w:line="225"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81"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u w:val="single" w:color="auto"/>
          <w:color w:val="auto"/>
        </w:rPr>
        <w:t>Repayment of Securities</w:t>
      </w:r>
      <w:r>
        <w:rPr>
          <w:rFonts w:ascii="Arial" w:cs="Arial" w:eastAsia="Arial" w:hAnsi="Arial"/>
          <w:sz w:val="16"/>
          <w:szCs w:val="16"/>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77"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u w:val="single" w:color="auto"/>
          <w:color w:val="auto"/>
        </w:rPr>
        <w:t>Exercise of Option</w:t>
      </w:r>
      <w:r>
        <w:rPr>
          <w:rFonts w:ascii="Arial" w:cs="Arial" w:eastAsia="Arial" w:hAnsi="Arial"/>
          <w:sz w:val="16"/>
          <w:szCs w:val="16"/>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73"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u w:val="single" w:color="auto"/>
          <w:color w:val="auto"/>
        </w:rPr>
        <w:t>When Securities Presented for Repayment Become Due and Payable</w:t>
      </w:r>
      <w:r>
        <w:rPr>
          <w:rFonts w:ascii="Arial" w:cs="Arial" w:eastAsia="Arial" w:hAnsi="Arial"/>
          <w:sz w:val="16"/>
          <w:szCs w:val="16"/>
          <w:color w:val="auto"/>
        </w:rPr>
        <w:t>.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w:t>
      </w:r>
    </w:p>
    <w:p>
      <w:pPr>
        <w:sectPr>
          <w:pgSz w:w="11900" w:h="16877" w:orient="portrait"/>
          <w:cols w:equalWidth="0" w:num="1">
            <w:col w:w="11420"/>
          </w:cols>
          <w:pgMar w:left="240" w:top="125" w:right="239" w:bottom="0" w:gutter="0" w:footer="0" w:header="0"/>
        </w:sectPr>
      </w:pPr>
    </w:p>
    <w:bookmarkStart w:id="132" w:name="page133"/>
    <w:bookmarkEnd w:id="132"/>
    <w:p>
      <w:pPr>
        <w:ind w:right="260"/>
        <w:spacing w:after="0" w:line="273" w:lineRule="auto"/>
        <w:rPr>
          <w:sz w:val="20"/>
          <w:szCs w:val="20"/>
          <w:color w:val="auto"/>
        </w:rPr>
      </w:pPr>
      <w:r>
        <w:rPr>
          <w:rFonts w:ascii="Arial" w:cs="Arial" w:eastAsia="Arial" w:hAnsi="Arial"/>
          <w:sz w:val="17"/>
          <w:szCs w:val="17"/>
          <w:color w:val="auto"/>
        </w:rPr>
        <w:t xml:space="preserve">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7"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79"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8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Securities Repaid in Part</w:t>
      </w:r>
      <w:r>
        <w:rPr>
          <w:rFonts w:ascii="Arial" w:cs="Arial" w:eastAsia="Arial" w:hAnsi="Arial"/>
          <w:sz w:val="18"/>
          <w:szCs w:val="18"/>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FOURTEEN - DEFEASANCE AND COVENANT DEFEASANCE</w:t>
      </w:r>
    </w:p>
    <w:p>
      <w:pPr>
        <w:spacing w:after="0" w:line="225"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SECTION 1401. </w:t>
      </w:r>
      <w:r>
        <w:rPr>
          <w:rFonts w:ascii="Arial" w:cs="Arial" w:eastAsia="Arial" w:hAnsi="Arial"/>
          <w:sz w:val="17"/>
          <w:szCs w:val="17"/>
          <w:u w:val="single" w:color="auto"/>
          <w:color w:val="auto"/>
        </w:rPr>
        <w:t>Applicability of Article; Company’s Option to Effect Defeasance or Covenant Defeasance</w:t>
      </w:r>
      <w:r>
        <w:rPr>
          <w:rFonts w:ascii="Arial" w:cs="Arial" w:eastAsia="Arial" w:hAnsi="Arial"/>
          <w:sz w:val="17"/>
          <w:szCs w:val="17"/>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78"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u w:val="single" w:color="auto"/>
          <w:color w:val="auto"/>
        </w:rPr>
        <w:t>Defeasance and Discharge</w:t>
      </w:r>
      <w:r>
        <w:rPr>
          <w:rFonts w:ascii="Arial" w:cs="Arial" w:eastAsia="Arial" w:hAnsi="Arial"/>
          <w:sz w:val="16"/>
          <w:szCs w:val="16"/>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w:t>
      </w:r>
    </w:p>
    <w:p>
      <w:pPr>
        <w:spacing w:after="0" w:line="4" w:lineRule="exact"/>
        <w:rPr>
          <w:sz w:val="20"/>
          <w:szCs w:val="20"/>
          <w:color w:val="auto"/>
        </w:rPr>
      </w:pPr>
    </w:p>
    <w:p>
      <w:pPr>
        <w:ind w:right="120" w:firstLine="8"/>
        <w:spacing w:after="0" w:line="261" w:lineRule="auto"/>
        <w:tabs>
          <w:tab w:leader="none" w:pos="29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ectPr>
          <w:pgSz w:w="11900" w:h="16838" w:orient="portrait"/>
          <w:cols w:equalWidth="0" w:num="1">
            <w:col w:w="11420"/>
          </w:cols>
          <w:pgMar w:left="240" w:top="125" w:right="239" w:bottom="0" w:gutter="0" w:footer="0" w:header="0"/>
        </w:sectPr>
      </w:pPr>
    </w:p>
    <w:bookmarkStart w:id="133" w:name="page134"/>
    <w:bookmarkEnd w:id="133"/>
    <w:p>
      <w:pPr>
        <w:spacing w:after="0" w:line="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Conditions to Defeasance or Covenant Defeasance</w:t>
      </w:r>
      <w:r>
        <w:rPr>
          <w:rFonts w:ascii="Arial" w:cs="Arial" w:eastAsia="Arial" w:hAnsi="Arial"/>
          <w:sz w:val="17"/>
          <w:szCs w:val="17"/>
          <w:color w:val="auto"/>
        </w:rPr>
        <w:t>. The following shall be the conditions to application of Section 1402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1403 to any Outstanding Securities of or within a series and any coupons appertaining thereto:</w:t>
      </w:r>
    </w:p>
    <w:p>
      <w:pPr>
        <w:spacing w:after="0" w:line="211" w:lineRule="exact"/>
        <w:rPr>
          <w:sz w:val="20"/>
          <w:szCs w:val="20"/>
          <w:color w:val="auto"/>
        </w:rPr>
      </w:pPr>
    </w:p>
    <w:p>
      <w:pPr>
        <w:ind w:right="120" w:firstLine="449"/>
        <w:spacing w:after="0" w:line="268" w:lineRule="auto"/>
        <w:tabs>
          <w:tab w:leader="none" w:pos="68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83" w:lineRule="exact"/>
        <w:rPr>
          <w:rFonts w:ascii="Arial" w:cs="Arial" w:eastAsia="Arial" w:hAnsi="Arial"/>
          <w:sz w:val="17"/>
          <w:szCs w:val="17"/>
          <w:color w:val="auto"/>
        </w:rPr>
      </w:pPr>
    </w:p>
    <w:p>
      <w:pPr>
        <w:ind w:right="540" w:firstLine="449"/>
        <w:spacing w:after="0" w:line="277" w:lineRule="auto"/>
        <w:tabs>
          <w:tab w:leader="none" w:pos="69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70" w:lineRule="exact"/>
        <w:rPr>
          <w:rFonts w:ascii="Arial" w:cs="Arial" w:eastAsia="Arial" w:hAnsi="Arial"/>
          <w:sz w:val="18"/>
          <w:szCs w:val="18"/>
          <w:color w:val="auto"/>
        </w:rPr>
      </w:pPr>
    </w:p>
    <w:p>
      <w:pPr>
        <w:ind w:firstLine="449"/>
        <w:spacing w:after="0" w:line="259" w:lineRule="auto"/>
        <w:tabs>
          <w:tab w:leader="none" w:pos="68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86" w:lineRule="exact"/>
        <w:rPr>
          <w:rFonts w:ascii="Arial" w:cs="Arial" w:eastAsia="Arial" w:hAnsi="Arial"/>
          <w:sz w:val="18"/>
          <w:szCs w:val="18"/>
          <w:color w:val="auto"/>
        </w:rPr>
      </w:pPr>
    </w:p>
    <w:p>
      <w:pPr>
        <w:ind w:right="100" w:firstLine="449"/>
        <w:spacing w:after="0" w:line="255" w:lineRule="auto"/>
        <w:tabs>
          <w:tab w:leader="none" w:pos="69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93" w:lineRule="exact"/>
        <w:rPr>
          <w:rFonts w:ascii="Arial" w:cs="Arial" w:eastAsia="Arial" w:hAnsi="Arial"/>
          <w:sz w:val="18"/>
          <w:szCs w:val="18"/>
          <w:color w:val="auto"/>
        </w:rPr>
      </w:pPr>
    </w:p>
    <w:p>
      <w:pPr>
        <w:ind w:right="80" w:firstLine="449"/>
        <w:spacing w:after="0" w:line="259" w:lineRule="auto"/>
        <w:tabs>
          <w:tab w:leader="none" w:pos="68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449"/>
        <w:spacing w:after="0" w:line="297" w:lineRule="auto"/>
        <w:tabs>
          <w:tab w:leader="none" w:pos="663"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58" w:lineRule="exact"/>
        <w:rPr>
          <w:rFonts w:ascii="Arial" w:cs="Arial" w:eastAsia="Arial" w:hAnsi="Arial"/>
          <w:sz w:val="16"/>
          <w:szCs w:val="16"/>
          <w:color w:val="auto"/>
        </w:rPr>
      </w:pPr>
    </w:p>
    <w:p>
      <w:pPr>
        <w:ind w:right="80" w:firstLine="449"/>
        <w:spacing w:after="0" w:line="308" w:lineRule="auto"/>
        <w:tabs>
          <w:tab w:leader="none" w:pos="69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46" w:lineRule="exact"/>
        <w:rPr>
          <w:rFonts w:ascii="Arial" w:cs="Arial" w:eastAsia="Arial" w:hAnsi="Arial"/>
          <w:sz w:val="17"/>
          <w:szCs w:val="17"/>
          <w:color w:val="auto"/>
        </w:rPr>
      </w:pPr>
    </w:p>
    <w:p>
      <w:pPr>
        <w:ind w:left="700" w:hanging="251"/>
        <w:spacing w:after="0"/>
        <w:tabs>
          <w:tab w:leader="none" w:pos="7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payment of amounts payable to the Trustee pursuant to this Indenture shall be paid or provided for to the reasonable satisfaction of the Trustee.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1405. </w:t>
      </w:r>
      <w:r>
        <w:rPr>
          <w:rFonts w:ascii="Arial" w:cs="Arial" w:eastAsia="Arial" w:hAnsi="Arial"/>
          <w:sz w:val="16"/>
          <w:szCs w:val="16"/>
          <w:u w:val="single" w:color="auto"/>
          <w:color w:val="auto"/>
        </w:rPr>
        <w:t>Deposited Money and Government Obligations to Be Held in Trust; Other Miscellaneous Provisions</w:t>
      </w:r>
      <w:r>
        <w:rPr>
          <w:rFonts w:ascii="Arial" w:cs="Arial" w:eastAsia="Arial" w:hAnsi="Arial"/>
          <w:sz w:val="16"/>
          <w:szCs w:val="16"/>
          <w:color w:val="auto"/>
        </w:rPr>
        <w:t>. Subject to the provisions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last paragraph of Section 1003, all money and Government Obligations (or other property as may be provided pursuant to Section 301) (including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thereof) deposited with the Trustee (or other qualifying trustee, collectively for purposes of this Section 1405, the “Trustee”)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1404 in respect of any Outstanding Securities of any series and any coupons appertaining thereto shall be held in trust and applied by the Trustee,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provisions of such Securities and any coupons appertaining thereto and this Indenture, to the payment, either directly or through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Paying Agent (including the Company acting as its own Paying Agent) as the Trustee may determine, to the Holders of such Securities and any coupons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appertaining thereto of all sums due and to become due thereon in respect of principal (and premium or Make-Whole Amount, if any) and interest, but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money need not be segregated from other funds except to the extent required by law.</w:t>
      </w:r>
    </w:p>
    <w:p>
      <w:pPr>
        <w:spacing w:after="0" w:line="21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69"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w:t>
      </w:r>
    </w:p>
    <w:p>
      <w:pPr>
        <w:sectPr>
          <w:pgSz w:w="11900" w:h="16908" w:orient="portrait"/>
          <w:cols w:equalWidth="0" w:num="1">
            <w:col w:w="11400"/>
          </w:cols>
          <w:pgMar w:left="240" w:top="125" w:right="259" w:bottom="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account of the Holders of such Outstanding Securities and any coupons appertaining thereto.</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FIFTEEN - MEETINGS OF HOLDERS OF SECURITIES</w:t>
      </w:r>
    </w:p>
    <w:p>
      <w:pPr>
        <w:spacing w:after="0" w:line="225"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Call, Notice and Place of Meetings</w:t>
      </w:r>
      <w:r>
        <w:rPr>
          <w:rFonts w:ascii="Arial" w:cs="Arial" w:eastAsia="Arial" w:hAnsi="Arial"/>
          <w:sz w:val="18"/>
          <w:szCs w:val="18"/>
          <w:color w:val="auto"/>
        </w:rPr>
        <w:t>.</w:t>
      </w:r>
    </w:p>
    <w:p>
      <w:pPr>
        <w:spacing w:after="0" w:line="225" w:lineRule="exact"/>
        <w:rPr>
          <w:sz w:val="20"/>
          <w:szCs w:val="20"/>
          <w:color w:val="auto"/>
        </w:rPr>
      </w:pPr>
    </w:p>
    <w:p>
      <w:pPr>
        <w:ind w:right="20" w:firstLine="889"/>
        <w:spacing w:after="0" w:line="259" w:lineRule="auto"/>
        <w:tabs>
          <w:tab w:leader="none" w:pos="112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86" w:lineRule="exact"/>
        <w:rPr>
          <w:rFonts w:ascii="Arial" w:cs="Arial" w:eastAsia="Arial" w:hAnsi="Arial"/>
          <w:sz w:val="18"/>
          <w:szCs w:val="18"/>
          <w:color w:val="auto"/>
        </w:rPr>
      </w:pPr>
    </w:p>
    <w:p>
      <w:pPr>
        <w:ind w:firstLine="889"/>
        <w:spacing w:after="0" w:line="293" w:lineRule="auto"/>
        <w:tabs>
          <w:tab w:leader="none" w:pos="113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1503. </w:t>
      </w:r>
      <w:r>
        <w:rPr>
          <w:rFonts w:ascii="Arial" w:cs="Arial" w:eastAsia="Arial" w:hAnsi="Arial"/>
          <w:sz w:val="16"/>
          <w:szCs w:val="16"/>
          <w:u w:val="single" w:color="auto"/>
          <w:color w:val="auto"/>
        </w:rPr>
        <w:t>Persons Entitled to Vote at Meetings</w:t>
      </w:r>
      <w:r>
        <w:rPr>
          <w:rFonts w:ascii="Arial" w:cs="Arial" w:eastAsia="Arial" w:hAnsi="Arial"/>
          <w:sz w:val="16"/>
          <w:szCs w:val="16"/>
          <w:color w:val="auto"/>
        </w:rPr>
        <w:t>. To be entitled to vote at any meeting of Holders of Securities of any series, a Person shall be</w:t>
      </w:r>
    </w:p>
    <w:p>
      <w:pPr>
        <w:spacing w:after="0" w:line="46" w:lineRule="exact"/>
        <w:rPr>
          <w:sz w:val="20"/>
          <w:szCs w:val="20"/>
          <w:color w:val="auto"/>
        </w:rPr>
      </w:pPr>
    </w:p>
    <w:p>
      <w:pPr>
        <w:ind w:right="60" w:firstLine="8"/>
        <w:spacing w:after="0" w:line="254" w:lineRule="auto"/>
        <w:tabs>
          <w:tab w:leader="none" w:pos="2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9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Quorum; Action</w:t>
      </w:r>
      <w:r>
        <w:rPr>
          <w:rFonts w:ascii="Arial" w:cs="Arial" w:eastAsia="Arial" w:hAnsi="Arial"/>
          <w:sz w:val="16"/>
          <w:szCs w:val="16"/>
          <w:color w:val="auto"/>
        </w:rPr>
        <w:t xml:space="preserve">. The Persons entitled to vote a majority in principal amount of the Outstanding Securities of a series shall constitute a quorum for a meeting of Holders of Securities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73"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70"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87" w:lineRule="exact"/>
        <w:rPr>
          <w:sz w:val="20"/>
          <w:szCs w:val="20"/>
          <w:color w:val="auto"/>
        </w:rPr>
      </w:pPr>
    </w:p>
    <w:p>
      <w:pPr>
        <w:ind w:left="1540" w:hanging="210"/>
        <w:spacing w:after="0"/>
        <w:tabs>
          <w:tab w:leader="none" w:pos="1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25" w:lineRule="exact"/>
        <w:rPr>
          <w:rFonts w:ascii="Arial" w:cs="Arial" w:eastAsia="Arial" w:hAnsi="Arial"/>
          <w:sz w:val="18"/>
          <w:szCs w:val="18"/>
          <w:color w:val="auto"/>
        </w:rPr>
      </w:pPr>
    </w:p>
    <w:p>
      <w:pPr>
        <w:ind w:left="880" w:right="120" w:firstLine="450"/>
        <w:spacing w:after="0" w:line="264" w:lineRule="auto"/>
        <w:tabs>
          <w:tab w:leader="none" w:pos="158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ectPr>
          <w:pgSz w:w="11900" w:h="16838" w:orient="portrait"/>
          <w:cols w:equalWidth="0" w:num="1">
            <w:col w:w="11400"/>
          </w:cols>
          <w:pgMar w:left="240" w:top="125" w:right="259" w:bottom="0" w:gutter="0" w:footer="0" w:header="0"/>
        </w:sectPr>
      </w:pPr>
    </w:p>
    <w:bookmarkStart w:id="135" w:name="page136"/>
    <w:bookmarkEnd w:id="135"/>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Determination of Voting Rights; Conduct and Adjournment of Meetings</w:t>
      </w:r>
      <w:r>
        <w:rPr>
          <w:rFonts w:ascii="Arial" w:cs="Arial" w:eastAsia="Arial" w:hAnsi="Arial"/>
          <w:sz w:val="18"/>
          <w:szCs w:val="18"/>
          <w:color w:val="auto"/>
        </w:rPr>
        <w:t>.</w:t>
      </w:r>
    </w:p>
    <w:p>
      <w:pPr>
        <w:spacing w:after="0" w:line="225" w:lineRule="exact"/>
        <w:rPr>
          <w:sz w:val="20"/>
          <w:szCs w:val="20"/>
          <w:color w:val="auto"/>
        </w:rPr>
      </w:pPr>
    </w:p>
    <w:p>
      <w:pPr>
        <w:ind w:firstLine="889"/>
        <w:spacing w:after="0" w:line="271" w:lineRule="auto"/>
        <w:tabs>
          <w:tab w:leader="none" w:pos="112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78" w:lineRule="exact"/>
        <w:rPr>
          <w:rFonts w:ascii="Arial" w:cs="Arial" w:eastAsia="Arial" w:hAnsi="Arial"/>
          <w:sz w:val="17"/>
          <w:szCs w:val="17"/>
          <w:color w:val="auto"/>
        </w:rPr>
      </w:pPr>
    </w:p>
    <w:p>
      <w:pPr>
        <w:ind w:right="140" w:firstLine="889"/>
        <w:spacing w:after="0" w:line="302" w:lineRule="auto"/>
        <w:tabs>
          <w:tab w:leader="none" w:pos="1133"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54" w:lineRule="exact"/>
        <w:rPr>
          <w:rFonts w:ascii="Arial" w:cs="Arial" w:eastAsia="Arial" w:hAnsi="Arial"/>
          <w:sz w:val="16"/>
          <w:szCs w:val="16"/>
          <w:color w:val="auto"/>
        </w:rPr>
      </w:pPr>
    </w:p>
    <w:p>
      <w:pPr>
        <w:ind w:right="240" w:firstLine="889"/>
        <w:spacing w:after="0" w:line="259" w:lineRule="auto"/>
        <w:tabs>
          <w:tab w:leader="none" w:pos="111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6" w:lineRule="exact"/>
        <w:rPr>
          <w:rFonts w:ascii="Arial" w:cs="Arial" w:eastAsia="Arial" w:hAnsi="Arial"/>
          <w:sz w:val="18"/>
          <w:szCs w:val="18"/>
          <w:color w:val="auto"/>
        </w:rPr>
      </w:pPr>
    </w:p>
    <w:p>
      <w:pPr>
        <w:ind w:firstLine="889"/>
        <w:spacing w:after="0" w:line="264" w:lineRule="auto"/>
        <w:tabs>
          <w:tab w:leader="none" w:pos="112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1506. </w:t>
      </w:r>
      <w:r>
        <w:rPr>
          <w:rFonts w:ascii="Arial" w:cs="Arial" w:eastAsia="Arial" w:hAnsi="Arial"/>
          <w:sz w:val="17"/>
          <w:szCs w:val="17"/>
          <w:u w:val="single" w:color="auto"/>
          <w:color w:val="auto"/>
        </w:rPr>
        <w:t>Counting Votes and Recording Action of Meetings</w:t>
      </w:r>
      <w:r>
        <w:rPr>
          <w:rFonts w:ascii="Arial" w:cs="Arial" w:eastAsia="Arial" w:hAnsi="Arial"/>
          <w:sz w:val="17"/>
          <w:szCs w:val="17"/>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have attached thereto the ballots voted at the meeting. Any record so signed and verified shall be conclusive evidence of the matters therein stated.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SIXTEEN - SUBORDINATION OF SECURITIES</w:t>
      </w:r>
    </w:p>
    <w:p>
      <w:pPr>
        <w:spacing w:after="0" w:line="225"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 xml:space="preserve">SECTION 1601. </w:t>
      </w:r>
      <w:r>
        <w:rPr>
          <w:rFonts w:ascii="Arial" w:cs="Arial" w:eastAsia="Arial" w:hAnsi="Arial"/>
          <w:sz w:val="16"/>
          <w:szCs w:val="16"/>
          <w:u w:val="single" w:color="auto"/>
          <w:color w:val="auto"/>
        </w:rPr>
        <w:t>Agreement to Subordinate</w:t>
      </w:r>
      <w:r>
        <w:rPr>
          <w:rFonts w:ascii="Arial" w:cs="Arial" w:eastAsia="Arial" w:hAnsi="Arial"/>
          <w:sz w:val="16"/>
          <w:szCs w:val="16"/>
          <w:color w:val="auto"/>
        </w:rPr>
        <w:t>. Notwithstanding anything in this Indenture to the contrary (other than Article Four of this Indenture), the Company covenants and agrees, and each Holder of a Security, by his acceptance thereof, likewise covenants and agrees, that, to the extent and in the manner hereinafter set forth in this Article, the Indebtedness represented by the Securities and the payment of any Obligations with respect to each and all of the Securities are hereby expressly made subordinate and subject in right of payment to the prior payment in full of all Senior Indebtedness.</w:t>
      </w:r>
    </w:p>
    <w:p>
      <w:pPr>
        <w:spacing w:after="0" w:line="154"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 xml:space="preserve">SECTION 1602. </w:t>
      </w:r>
      <w:r>
        <w:rPr>
          <w:rFonts w:ascii="Arial" w:cs="Arial" w:eastAsia="Arial" w:hAnsi="Arial"/>
          <w:sz w:val="17"/>
          <w:szCs w:val="17"/>
          <w:u w:val="single" w:color="auto"/>
          <w:color w:val="auto"/>
        </w:rPr>
        <w:t>Payment Over of Proceeds upon Dissolution, Etc</w:t>
      </w:r>
      <w:r>
        <w:rPr>
          <w:rFonts w:ascii="Arial" w:cs="Arial" w:eastAsia="Arial" w:hAnsi="Arial"/>
          <w:sz w:val="17"/>
          <w:szCs w:val="17"/>
          <w:color w:val="auto"/>
        </w:rPr>
        <w:t>. 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specified in (a), (b) or (c) above (each such event, if any, herein sometimes referred to as a “Proceeding”)</w:t>
      </w:r>
    </w:p>
    <w:p>
      <w:pPr>
        <w:spacing w:after="0" w:line="173" w:lineRule="exact"/>
        <w:rPr>
          <w:sz w:val="20"/>
          <w:szCs w:val="20"/>
          <w:color w:val="auto"/>
        </w:rPr>
      </w:pPr>
    </w:p>
    <w:p>
      <w:pPr>
        <w:ind w:left="880" w:right="100" w:firstLine="450"/>
        <w:spacing w:after="0" w:line="276" w:lineRule="auto"/>
        <w:tabs>
          <w:tab w:leader="none" w:pos="157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holders of Senior Indebtedness shall first be entitled to receive payment in full of all Obligations due or to become due on or in respect of all Senior Indebtedness, or provision shall be made for such payment in cash or cash equivalents or otherwise in a manner satisfactory to the holders of Senior Indebtedness, before the Holders of the Securities are entitled to receive any payment or distribution on account of principal of or premium, if any, or interest on or other Obligations in respect of the Securities or on account of any purchase, redemption or other acquisition of Securities by the Company (individually and collectively, a “Securities Payment”), and</w:t>
      </w:r>
    </w:p>
    <w:p>
      <w:pPr>
        <w:spacing w:after="0" w:line="172" w:lineRule="exact"/>
        <w:rPr>
          <w:rFonts w:ascii="Arial" w:cs="Arial" w:eastAsia="Arial" w:hAnsi="Arial"/>
          <w:sz w:val="17"/>
          <w:szCs w:val="17"/>
          <w:color w:val="auto"/>
        </w:rPr>
      </w:pPr>
    </w:p>
    <w:p>
      <w:pPr>
        <w:ind w:left="880" w:right="120" w:firstLine="450"/>
        <w:spacing w:after="0" w:line="270" w:lineRule="auto"/>
        <w:tabs>
          <w:tab w:leader="none" w:pos="157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Sixteen with respect to the Securities, to the payment in full, without diminution or modification by such plan, of all Senior Indebtedness), to which the Holders would be entitled except for the provisions of this Article Sixteen, shall be paid by the liquidating trustee or agent or other person making such a payment or distribution, directly to the holders of Senior Indebtedness) (or their representative(s) or trustee(s) acting on their behalf), ratably according to the aggregate amounts remaining unpaid on account of the principal of or interest on and other amounts due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182"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In the event that, notwithstanding the foregoing provisions of this Section 1602, the Trustee or the Holder of any Security shall have received 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with respect to the Securities, to the payment in full, without diminution or modification by such plan, of Senior Indebtedness), before all Senior Indebtedness is paid in full or payment thereof provided for in cash or cash equivalents or otherwise in a manner satisfactory to the holders of Senior Indebtedness, such payment or distribution shall be held in trust for the benefit of, and be paid</w:t>
      </w:r>
    </w:p>
    <w:p>
      <w:pPr>
        <w:sectPr>
          <w:pgSz w:w="11900" w:h="16840" w:orient="portrait"/>
          <w:cols w:equalWidth="0" w:num="1">
            <w:col w:w="11420"/>
          </w:cols>
          <w:pgMar w:left="240" w:top="125" w:right="239" w:bottom="0" w:gutter="0" w:footer="0" w:header="0"/>
        </w:sectPr>
      </w:pPr>
    </w:p>
    <w:bookmarkStart w:id="136" w:name="page137"/>
    <w:bookmarkEnd w:id="136"/>
    <w:p>
      <w:pPr>
        <w:jc w:val="both"/>
        <w:ind w:right="500"/>
        <w:spacing w:after="0" w:line="264" w:lineRule="auto"/>
        <w:rPr>
          <w:sz w:val="20"/>
          <w:szCs w:val="20"/>
          <w:color w:val="auto"/>
        </w:rPr>
      </w:pPr>
      <w:r>
        <w:rPr>
          <w:rFonts w:ascii="Arial" w:cs="Arial" w:eastAsia="Arial" w:hAnsi="Arial"/>
          <w:sz w:val="18"/>
          <w:szCs w:val="18"/>
          <w:color w:val="auto"/>
        </w:rPr>
        <w:t>over to, the holders of the Senior Indebtedness remaining unpaid (or their representative(s) or trustee(s) acting on their behalf), ratably as aforesaid, for application to the payment of such Senior Indebtedness until such Senior Indebtedness shall have been paid in full, after giving effect to any concurrent payment or distribution to the holders of such Senior Indebtedness.</w:t>
      </w:r>
    </w:p>
    <w:p>
      <w:pPr>
        <w:spacing w:after="0" w:line="18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consolidation of the Company with, or the merger of the Company into, another Person or the liquidation or dissolution of the Company following the conveyance or transfer of all or substantially all of its properties and assets as an entirety to another Person upon the terms and conditions set forth in Article Eight shall not be deemed a Proceeding for the purposes of this Section 1602 if the Person formed by such consolidation or into which the Company is merged or the Person which acquires by conveyance or transfer such properties and assets as an entirety, as the case may be, shall, as a part of such consolidation, merger, conveyance or transfer, comply with the conditions set forth in Article Eight.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 xml:space="preserve">SECTION 1603. </w:t>
      </w:r>
      <w:r>
        <w:rPr>
          <w:rFonts w:ascii="Arial" w:cs="Arial" w:eastAsia="Arial" w:hAnsi="Arial"/>
          <w:sz w:val="16"/>
          <w:szCs w:val="16"/>
          <w:u w:val="single" w:color="auto"/>
          <w:color w:val="auto"/>
        </w:rPr>
        <w:t>No Payment When Senior Indebtedness in Default</w:t>
      </w:r>
      <w:r>
        <w:rPr>
          <w:rFonts w:ascii="Arial" w:cs="Arial" w:eastAsia="Arial" w:hAnsi="Arial"/>
          <w:sz w:val="16"/>
          <w:szCs w:val="16"/>
          <w:color w:val="auto"/>
        </w:rPr>
        <w:t>. Anything in this Indenture to the contrary notwithstanding, no payment on account of principal of or redemption of, interest on or other amounts due on the Securities, and no redemption, purchase, or other acquisition of the Securities, shall be made by or on behalf of the Company (i) unless full payment of amounts then due for principal and interest and of all other obligations then due on all Senior Indebtedness has been made or duly provided for pursuant to the terms of the instrument governing such Senior Indebtedness, (ii) if, at the time of such payment, redemption, purchase or other acquisition, or immediately after giving effect thereto, there shall exist under any Senior Indebtedness, or any agreement pursuant to which any Senior Indebtedness is issued, any default, which default shall not have been cured or waived and which default shall have resulted in the full amount of such Senior Indebtedness being declared due and payable or (iii) if, at the time of such payment, redemption, purchase or other acquisition, the Trustee shall have received written notice from the holder or holders of any Senior Indebtedness or their representative or representatives (a “Payment Blockage Notice”) that there exists under such Senior Indebtedness, or any agreement pursuant to which such Senior Indebtedness is issued, any default, which default shall not have been cured or waived, permitting the holders thereof to declare the full amount of such Senior Indebtedness due and payable, but only for the period (the “Payment Blockage Period”) commencing on the date of receipt of the Payment Blockage Notice and ending (unless earlier terminated by notice given to the Trustee by the Holders of such Senior Indebtedness) on the earlier of (A) the date on which such event of default shall have been cured or waived or (B) 180 days from the receipt of the Payment Blockage Notice. Upon termination of a Payment Blockage Period, payments on account of principal of or interest on the Securities and redemptions, purchases or other acquisitions may be made by or on behalf of the Company. Notwithstanding anything herein to the contrary, (A) only one Payment Blockage Notice may be given during any period of 360 consecutive days with respect to the same event of default and any other events of default on the same issue of Senior Indebtedness existing and known to the person giving such notice at the time of such notice and (B) no new Payment Blockage Period may be commenced by the holder or holders of the same issue of Senior Indebtedness or their representative or representatives during any period of 360 consecutive days unless all events of default which were the object of the immediately preceding Payment Blockage Notice, and any other event of default on the same issue of Senior Indebtedness existing and known to the person giving such notice at the time of such notice, have been cured or waived.</w:t>
      </w:r>
    </w:p>
    <w:p>
      <w:pPr>
        <w:spacing w:after="0" w:line="168"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In the event that, notwithstanding the provisions of this Section 1603, payments are made by or on behalf of the Company in contravention of the provisions of this Section 1603, such payments shall be held by the Trustee, any Paying Agent or the Holders, as applicable, in trust for the benefit of, and shall be paid over to and delivered to, the holders of Senior Indebtedness or their representative or the trustee under the indenture or other agreement (if any), pursuant to which any instruments evidencing any Senior Indebtedness may have been issued, as their respective interests may appear, for application to the payment of all Senior Indebtedness remaining unpaid to the extent necessary to pay all Senior Indebtedness in full in accordance with the terms of such Senior Indebtedness, after giving effect to any concurrent payment or distribution to or for the holders of Senior Indebtedness.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shall not apply to any payment with respect to which Section 1602 would be applicable.</w:t>
      </w:r>
    </w:p>
    <w:p>
      <w:pPr>
        <w:spacing w:after="0" w:line="225" w:lineRule="exact"/>
        <w:rPr>
          <w:sz w:val="20"/>
          <w:szCs w:val="20"/>
          <w:color w:val="auto"/>
        </w:rPr>
      </w:pPr>
    </w:p>
    <w:p>
      <w:pPr>
        <w:ind w:right="200" w:firstLine="441"/>
        <w:spacing w:after="0" w:line="276" w:lineRule="auto"/>
        <w:rPr>
          <w:sz w:val="20"/>
          <w:szCs w:val="20"/>
          <w:color w:val="auto"/>
        </w:rPr>
      </w:pPr>
      <w:r>
        <w:rPr>
          <w:rFonts w:ascii="Arial" w:cs="Arial" w:eastAsia="Arial" w:hAnsi="Arial"/>
          <w:sz w:val="17"/>
          <w:szCs w:val="17"/>
          <w:color w:val="auto"/>
        </w:rPr>
        <w:t xml:space="preserve">SECTION 1604. </w:t>
      </w:r>
      <w:r>
        <w:rPr>
          <w:rFonts w:ascii="Arial" w:cs="Arial" w:eastAsia="Arial" w:hAnsi="Arial"/>
          <w:sz w:val="17"/>
          <w:szCs w:val="17"/>
          <w:u w:val="single" w:color="auto"/>
          <w:color w:val="auto"/>
        </w:rPr>
        <w:t>Reliance by Senior Indebtedness on Subordination Provisions</w:t>
      </w:r>
      <w:r>
        <w:rPr>
          <w:rFonts w:ascii="Arial" w:cs="Arial" w:eastAsia="Arial" w:hAnsi="Arial"/>
          <w:sz w:val="17"/>
          <w:szCs w:val="17"/>
          <w:color w:val="auto"/>
        </w:rPr>
        <w:t>. Each Holder of any Security by his acceptance thereof acknowledges and agrees that the foregoing subordination provisions are, and are intended to be, an inducement and a consideration for each holder of any Senior Indebtedness, whether such Senior Indebtedness was created or acquired before or after the issuance of the Securities, to acquire and continue to hold, or to continue to hold, such Senior Indebtedness, and such holder of Senior Indebtedness shall be deemed conclusively to have relied on such subordination provisions in acquiring and continuing to hold or in continuing to hold such Senior Indebtedness.</w:t>
      </w:r>
    </w:p>
    <w:p>
      <w:pPr>
        <w:spacing w:after="0" w:line="173"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SECTION 1605. </w:t>
      </w:r>
      <w:r>
        <w:rPr>
          <w:rFonts w:ascii="Arial" w:cs="Arial" w:eastAsia="Arial" w:hAnsi="Arial"/>
          <w:sz w:val="17"/>
          <w:szCs w:val="17"/>
          <w:u w:val="single" w:color="auto"/>
          <w:color w:val="auto"/>
        </w:rPr>
        <w:t>Subrogation to Rights of Holders of Senior Indebtedness</w:t>
      </w:r>
      <w:r>
        <w:rPr>
          <w:rFonts w:ascii="Arial" w:cs="Arial" w:eastAsia="Arial" w:hAnsi="Arial"/>
          <w:sz w:val="17"/>
          <w:szCs w:val="17"/>
          <w:color w:val="auto"/>
        </w:rPr>
        <w:t>. Subject to the payment in full of all Obligations due or to become due on or in respect of Senior Indebtedness, or the provision for such payment in cash or cash equivalents or otherwise in a manner satisfactory to the holders of Senior Indebtedness, the Holders of the Securities shall be subrogated to the extent of the payments or distributions made to the holders of such Senior Indebtedness pursuant to the provisions of this Article Sixteen to the rights of the holders of such Senior Indebtedness to receive payments and distributions of cash, property and securities applicable to the Senior Indebtedness until the principal of and premium, if any, and interest on the Securities shall be paid in full. For purposes of such subrogation, no payments or distributions to the holders of the Senior Indebtedness of any cash, property or securities to which the Holders of the Securities or the Trustee would be entitled except for the provisions of this Article Sixteen, and no payments over pursuant to the provisions of this Article Sixteen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 xml:space="preserve">SECTION 1606. </w:t>
      </w:r>
      <w:r>
        <w:rPr>
          <w:rFonts w:ascii="Arial" w:cs="Arial" w:eastAsia="Arial" w:hAnsi="Arial"/>
          <w:sz w:val="17"/>
          <w:szCs w:val="17"/>
          <w:u w:val="single" w:color="auto"/>
          <w:color w:val="auto"/>
        </w:rPr>
        <w:t>Provisions Solely to Define Relative Rights</w:t>
      </w:r>
      <w:r>
        <w:rPr>
          <w:rFonts w:ascii="Arial" w:cs="Arial" w:eastAsia="Arial" w:hAnsi="Arial"/>
          <w:sz w:val="17"/>
          <w:szCs w:val="17"/>
          <w:color w:val="auto"/>
        </w:rPr>
        <w:t>. The provisions of this Article Sixteen are and are intended solely for the purpose of defining the relative rights of the Holders of the Securities on the one hand and the holders of Senior Indebtedness on the other hand. Nothing contained in this Article or elsewhere in this Indenture or in the Securities is intended to or shall (a) impair, as among the Company, its creditors other than holders of Senior Indebtedness and the Holders of the Securities, the obligation of the Company, which is absolute and unconditional (and which, subject to the rights under this Article Sixteen of the holders of Senior Indebtedness,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of the holders of Senior Indebtedness to receive cash, property and securities otherwise payable or deliverable to the Trustee or such Holder.</w:t>
      </w:r>
    </w:p>
    <w:p>
      <w:pPr>
        <w:sectPr>
          <w:pgSz w:w="11900" w:h="16838" w:orient="portrait"/>
          <w:cols w:equalWidth="0" w:num="1">
            <w:col w:w="11420"/>
          </w:cols>
          <w:pgMar w:left="240" w:top="125" w:right="239" w:bottom="0" w:gutter="0" w:footer="0" w:header="0"/>
        </w:sectPr>
      </w:pPr>
    </w:p>
    <w:bookmarkStart w:id="137" w:name="page138"/>
    <w:bookmarkEnd w:id="137"/>
    <w:p>
      <w:pPr>
        <w:ind w:right="60" w:firstLine="441"/>
        <w:spacing w:after="0" w:line="269" w:lineRule="auto"/>
        <w:rPr>
          <w:sz w:val="20"/>
          <w:szCs w:val="20"/>
          <w:color w:val="auto"/>
        </w:rPr>
      </w:pPr>
      <w:r>
        <w:rPr>
          <w:rFonts w:ascii="Arial" w:cs="Arial" w:eastAsia="Arial" w:hAnsi="Arial"/>
          <w:sz w:val="17"/>
          <w:szCs w:val="17"/>
          <w:color w:val="auto"/>
        </w:rPr>
        <w:t xml:space="preserve">SECTION 1607. </w:t>
      </w:r>
      <w:r>
        <w:rPr>
          <w:rFonts w:ascii="Arial" w:cs="Arial" w:eastAsia="Arial" w:hAnsi="Arial"/>
          <w:sz w:val="17"/>
          <w:szCs w:val="17"/>
          <w:u w:val="single" w:color="auto"/>
          <w:color w:val="auto"/>
        </w:rPr>
        <w:t>Trustee to Effectuate Subordination</w:t>
      </w:r>
      <w:r>
        <w:rPr>
          <w:rFonts w:ascii="Arial" w:cs="Arial" w:eastAsia="Arial" w:hAnsi="Arial"/>
          <w:sz w:val="17"/>
          <w:szCs w:val="17"/>
          <w:color w:val="auto"/>
        </w:rPr>
        <w:t>. Each Holder of a Security by his acceptance thereof authorizes and directs the Trustee on his behalf to take such action as may be necessary or appropriate to effectuate, as between the Holders of the Securities and the holders of Senior Indebtedness, the subordination provided in this Article Sixteen and appoints the Trustee his attorney-in-fact for any and all such purposes, including, in the event of any dissolution, winding up or liquidation or reorganization under any applicable bankruptcy law of the Company (whether in bankruptcy, insolvency or receivership Proceedings or otherwise), the timely filing of a claim for the unpaid balance of such Holder’s Securities in the form required in such Proceedings and the causing of such claim to be approved. If the Trustee does not file a claim or proof of debt in the form required in such Proceedings prior to 30 days before the expiration of the time to file such claims or proofs, then the holders of Senior Indebtedness, jointly, or their representatives shall have the right to file an appropriate claim for and on behalf of the Holders and to demand, sue for, collect, receive and receipt for the payments and distributions in respect of the Securities which are required to be paid or delivered to the holders of Senior Indebtedness as provided in this Article Sixteen and to take all such other action in the name of the Holders or otherwise, as such holder of Senior Indebtedness or representative thereof may determine to be necessary or appropriate for the enforcement of the provisions of this Article Sixteen.</w:t>
      </w:r>
    </w:p>
    <w:p>
      <w:pPr>
        <w:spacing w:after="0" w:line="183"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 xml:space="preserve">SECTION 1608. </w:t>
      </w:r>
      <w:r>
        <w:rPr>
          <w:rFonts w:ascii="Arial" w:cs="Arial" w:eastAsia="Arial" w:hAnsi="Arial"/>
          <w:sz w:val="17"/>
          <w:szCs w:val="17"/>
          <w:u w:val="single" w:color="auto"/>
          <w:color w:val="auto"/>
        </w:rPr>
        <w:t>No Waiver of Subordination Provisions</w:t>
      </w:r>
      <w:r>
        <w:rPr>
          <w:rFonts w:ascii="Arial" w:cs="Arial" w:eastAsia="Arial" w:hAnsi="Arial"/>
          <w:sz w:val="17"/>
          <w:szCs w:val="17"/>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any representative or trustee therefor, or by any non-compliance by the Company with the terms, provisions and covenants of this Indenture, regardless of any knowledge thereof any such holder may have or be otherwise charged with.</w:t>
      </w:r>
    </w:p>
    <w:p>
      <w:pPr>
        <w:spacing w:after="0" w:line="171" w:lineRule="exact"/>
        <w:rPr>
          <w:sz w:val="20"/>
          <w:szCs w:val="20"/>
          <w:color w:val="auto"/>
        </w:rPr>
      </w:pPr>
    </w:p>
    <w:p>
      <w:pPr>
        <w:ind w:right="100" w:firstLine="441"/>
        <w:spacing w:after="0" w:line="289" w:lineRule="auto"/>
        <w:rPr>
          <w:sz w:val="20"/>
          <w:szCs w:val="20"/>
          <w:color w:val="auto"/>
        </w:rPr>
      </w:pPr>
      <w:r>
        <w:rPr>
          <w:rFonts w:ascii="Arial" w:cs="Arial" w:eastAsia="Arial" w:hAnsi="Arial"/>
          <w:sz w:val="16"/>
          <w:szCs w:val="16"/>
          <w:color w:val="auto"/>
        </w:rPr>
        <w:t>Without in any way limiting the generality of the foregoing paragraph, the holders of Senior Indebtedness may, at any time from time to time, without the consent of or notice to the Trustee or the Holders of the Securities, without incurring responsibility to the Holders of the Securities and without impairing or releasing the subordination provided in this Article Sixteen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 and settle or compromise Senior Indebtedness (which, to the extent so settled and compromised, shall be deemed to have been paid in full for all purposes hereof); (iv) apply any amounts received to any liability of the Company owing to holders of Senior Indebtedness; and (v) exercise or refrain from exercising any rights against the Company and any other Person.</w:t>
      </w:r>
    </w:p>
    <w:p>
      <w:pPr>
        <w:spacing w:after="0" w:line="167" w:lineRule="exact"/>
        <w:rPr>
          <w:sz w:val="20"/>
          <w:szCs w:val="20"/>
          <w:color w:val="auto"/>
        </w:rPr>
      </w:pPr>
    </w:p>
    <w:p>
      <w:pPr>
        <w:ind w:right="160" w:firstLine="441"/>
        <w:spacing w:after="0" w:line="270" w:lineRule="auto"/>
        <w:rPr>
          <w:sz w:val="20"/>
          <w:szCs w:val="20"/>
          <w:color w:val="auto"/>
        </w:rPr>
      </w:pPr>
      <w:r>
        <w:rPr>
          <w:rFonts w:ascii="Arial" w:cs="Arial" w:eastAsia="Arial" w:hAnsi="Arial"/>
          <w:sz w:val="17"/>
          <w:szCs w:val="17"/>
          <w:color w:val="auto"/>
        </w:rPr>
        <w:t xml:space="preserve">SECTION 1609. </w:t>
      </w:r>
      <w:r>
        <w:rPr>
          <w:rFonts w:ascii="Arial" w:cs="Arial" w:eastAsia="Arial" w:hAnsi="Arial"/>
          <w:sz w:val="17"/>
          <w:szCs w:val="17"/>
          <w:u w:val="single" w:color="auto"/>
          <w:color w:val="auto"/>
        </w:rPr>
        <w:t>Notice to Trustee</w:t>
      </w:r>
      <w:r>
        <w:rPr>
          <w:rFonts w:ascii="Arial" w:cs="Arial" w:eastAsia="Arial" w:hAnsi="Arial"/>
          <w:sz w:val="17"/>
          <w:szCs w:val="17"/>
          <w:color w:val="auto"/>
        </w:rPr>
        <w:t xml:space="preserve">. The Company shall give prompt written notice to the Trustee of any default or event of default with respect to any Senior Indebtedness or of any fact known to the Company which would prohibit the making of any payment to or by the Trustee in respect of the Securities pursuant to the provisions of this Article Sixteen. Notwithstanding the provisions of this Article Sixteen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representative or trustee acting on their behalf; and, prior to the receipt of any such written notice, the Trustee, subject to the provisions of Section 612, shall be entitled in all respects to assume that no such facts exist;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and authority to receive such money and to apply the same to the purpose for which such money was received and shall not be affected by any notice to the contrary which may be received by it within three Business Days prior to such date. Nothing contained in this Article Sixteen or any other Article of this Indenture or in any of the Securities shall prevent (a) the Company, at any time except during the pendency of any Proceeding, or under the conditions described in Section 1603, from making payments at any time in respect of the Securities, or (b) the application by the Trustee of any money deposited with it hereunder to the payment of or on account of the Securities, or the retention thereof by any Holder, if the Trustee did not have notice, as provided in this Section 1609, that such payment would have been prohibited by the provisions of this Article Sixteen.</w:t>
      </w:r>
    </w:p>
    <w:p>
      <w:pPr>
        <w:spacing w:after="0" w:line="178"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Subject to the provisions of Section 612, the Trustee shall be entitled to rely on the delivery to it of a written notice by a Person representing himself to be a holder of Senior Indebtedness (or a representative or trustee therefor) to establish that such notice has been given by a holder of Senior Indebtedness (or a trustee therefor).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6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Reliance on Judicial Order or Certificate of Liquidating Agent</w:t>
      </w:r>
      <w:r>
        <w:rPr>
          <w:rFonts w:ascii="Arial" w:cs="Arial" w:eastAsia="Arial" w:hAnsi="Arial"/>
          <w:sz w:val="18"/>
          <w:szCs w:val="18"/>
          <w:color w:val="auto"/>
        </w:rPr>
        <w:t>. Upon any payment or distribution of assets of the Company referred to in this Article Sixteen, the Trustee, subject to the provisions of Section 612, and the Holders of the Securities shall be entitled to rely upon any order or decree entered by any court of competent jurisdiction in which any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w:t>
      </w:r>
    </w:p>
    <w:p>
      <w:pPr>
        <w:spacing w:after="0" w:line="189"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 xml:space="preserve">SECTION 1611. </w:t>
      </w:r>
      <w:r>
        <w:rPr>
          <w:rFonts w:ascii="Arial" w:cs="Arial" w:eastAsia="Arial" w:hAnsi="Arial"/>
          <w:sz w:val="16"/>
          <w:szCs w:val="16"/>
          <w:u w:val="single" w:color="auto"/>
          <w:color w:val="auto"/>
        </w:rPr>
        <w:t>Trustee Not Fiduciary for Holders of Senior Indebtedness</w:t>
      </w:r>
      <w:r>
        <w:rPr>
          <w:rFonts w:ascii="Arial" w:cs="Arial" w:eastAsia="Arial" w:hAnsi="Arial"/>
          <w:sz w:val="16"/>
          <w:szCs w:val="16"/>
          <w:color w:val="auto"/>
        </w:rPr>
        <w:t>. The Trustee shall not be deemed to owe any fiduciary duty to the holders of Senior Indebtedness. Nothing contained in this Article Sixteen or elsewhere in this Indenture, or in any of the Securities, shall prevent the application by the Trustee of any moneys which were deposited with it hereunder, prior to its receipt of written notice of facts which would prohibit such application, for the purpose of the payment of or on account of the principal of or interest on, the Securities unless, prior to the date on which such application is made by the Trustee, the Trustee shall be charged with notice under Section 1609 hereof of the facts which would prohibit the making of such application.</w:t>
      </w:r>
    </w:p>
    <w:p>
      <w:pPr>
        <w:spacing w:after="0" w:line="15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SECTION 1612. </w:t>
      </w:r>
      <w:r>
        <w:rPr>
          <w:rFonts w:ascii="Arial" w:cs="Arial" w:eastAsia="Arial" w:hAnsi="Arial"/>
          <w:sz w:val="18"/>
          <w:szCs w:val="18"/>
          <w:u w:val="single" w:color="auto"/>
          <w:color w:val="auto"/>
        </w:rPr>
        <w:t>Rights of Trustee as Holder of Senior Indebtedness; Preservation of Trustee’s Rights</w:t>
      </w:r>
      <w:r>
        <w:rPr>
          <w:rFonts w:ascii="Arial" w:cs="Arial" w:eastAsia="Arial" w:hAnsi="Arial"/>
          <w:sz w:val="18"/>
          <w:szCs w:val="18"/>
          <w:color w:val="auto"/>
        </w:rPr>
        <w:t>. The Trustee in its individual capacity shall be entitled to all the rights set forth in this Article Sixteen with respect to any Senior Indebtedness which may at any time be held by it, to the same extent as any other holder of Senior Indebtedness, and nothing in this Indenture shall deprive the Trustee of any of its rights as such holder. Nothing in this Article shall apply to claims of, or payments to, the Trustee under or pursuant to Section 606.</w:t>
      </w:r>
    </w:p>
    <w:p>
      <w:pPr>
        <w:sectPr>
          <w:pgSz w:w="11900" w:h="16838" w:orient="portrait"/>
          <w:cols w:equalWidth="0" w:num="1">
            <w:col w:w="11420"/>
          </w:cols>
          <w:pgMar w:left="240" w:top="125" w:right="239" w:bottom="0" w:gutter="0" w:footer="0" w:header="0"/>
        </w:sectPr>
      </w:pPr>
    </w:p>
    <w:bookmarkStart w:id="138" w:name="page139"/>
    <w:bookmarkEnd w:id="138"/>
    <w:p>
      <w:pPr>
        <w:spacing w:after="0" w:line="74"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u w:val="single" w:color="auto"/>
          <w:color w:val="auto"/>
        </w:rPr>
        <w:t>Article Applicable to Paying Agents</w:t>
      </w:r>
      <w:r>
        <w:rPr>
          <w:rFonts w:ascii="Arial" w:cs="Arial" w:eastAsia="Arial" w:hAnsi="Arial"/>
          <w:sz w:val="18"/>
          <w:szCs w:val="18"/>
          <w:color w:val="auto"/>
        </w:rPr>
        <w:t xml:space="preserve">. In case at any time any Paying Agent other than the Trustee shall have been appointed by the Company and be then acting hereunder, the term “Trustee” as used in this Article Sixteen shall in such case (unless the context otherwise requires) be construed as extending to and including such Paying Agent within its meaning as fully for all intents and purposes as if such Paying Agent were named in this Article in addition to or in place of the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Section 1612 shall not apply to the Company or any Affiliate of the Company if it or such Affiliate acts as Paying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SEVENTEEN - CONVERSION OF SECURITIES</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SECTION 1701. </w:t>
      </w:r>
      <w:r>
        <w:rPr>
          <w:rFonts w:ascii="Arial" w:cs="Arial" w:eastAsia="Arial" w:hAnsi="Arial"/>
          <w:sz w:val="18"/>
          <w:szCs w:val="18"/>
          <w:u w:val="single" w:color="auto"/>
          <w:color w:val="auto"/>
        </w:rPr>
        <w:t>Applicability of Article; Conversion Privilege and Conversion Price</w:t>
      </w:r>
      <w:r>
        <w:rPr>
          <w:rFonts w:ascii="Arial" w:cs="Arial" w:eastAsia="Arial" w:hAnsi="Arial"/>
          <w:sz w:val="18"/>
          <w:szCs w:val="18"/>
          <w:color w:val="auto"/>
        </w:rPr>
        <w:t>. Securities of any series which are convertible shall be convertible in accordance with their terms and (except as otherwise specified as contemplated by Section 301 for Securities of any series) in accordance with this Article Seventeen. Subject to and upon compliance with the provisions of this Article Seventeen, at any time during the period specified in the Securities, at the option of the Holder thereof, any Security or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93"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1704.</w:t>
      </w:r>
    </w:p>
    <w:p>
      <w:pPr>
        <w:spacing w:after="0" w:line="170"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In case the Company shall, by dividend or otherwise, declare or make a distribution on its Common Stock referred to in paragraph (4) of Section 1704, the Holder of each Security, upon the conversion thereof pursuant to this Article Seventeen subsequent to the close of business on the date fixed for the determination of stockholders entitled to receive such distribution and prior to the effectiveness of the Conversion Price adjustment in respect of such distribution pursuant to paragraph (4) of Section 1704, shall be entitled to receive for each share of Common Stock into which such Security is converted, the portion of the evidence of indebtedness, shares of Capital Stock or assets so distributed applicable to one share of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183"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SECTION 1702. </w:t>
      </w:r>
      <w:r>
        <w:rPr>
          <w:rFonts w:ascii="Arial" w:cs="Arial" w:eastAsia="Arial" w:hAnsi="Arial"/>
          <w:sz w:val="17"/>
          <w:szCs w:val="17"/>
          <w:u w:val="single" w:color="auto"/>
          <w:color w:val="auto"/>
        </w:rPr>
        <w:t>Exercise of Conversion Privilege</w:t>
      </w:r>
      <w:r>
        <w:rPr>
          <w:rFonts w:ascii="Arial" w:cs="Arial" w:eastAsia="Arial" w:hAnsi="Arial"/>
          <w:sz w:val="17"/>
          <w:szCs w:val="17"/>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7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88"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1703.</w:t>
      </w:r>
    </w:p>
    <w:p>
      <w:pPr>
        <w:spacing w:after="0" w:line="18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ectPr>
          <w:pgSz w:w="11900" w:h="16912" w:orient="portrait"/>
          <w:cols w:equalWidth="0" w:num="1">
            <w:col w:w="11420"/>
          </w:cols>
          <w:pgMar w:left="240" w:top="125" w:right="239" w:bottom="0" w:gutter="0" w:footer="0" w:header="0"/>
        </w:sectPr>
      </w:pPr>
    </w:p>
    <w:bookmarkStart w:id="139" w:name="page140"/>
    <w:bookmarkEnd w:id="139"/>
    <w:p>
      <w:pPr>
        <w:spacing w:after="0" w:line="69"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 xml:space="preserve">SECTION 1703. </w:t>
      </w:r>
      <w:r>
        <w:rPr>
          <w:rFonts w:ascii="Arial" w:cs="Arial" w:eastAsia="Arial" w:hAnsi="Arial"/>
          <w:sz w:val="16"/>
          <w:szCs w:val="16"/>
          <w:u w:val="single" w:color="auto"/>
          <w:color w:val="auto"/>
        </w:rPr>
        <w:t>Fractions of Shares</w:t>
      </w:r>
      <w:r>
        <w:rPr>
          <w:rFonts w:ascii="Arial" w:cs="Arial" w:eastAsia="Arial" w:hAnsi="Arial"/>
          <w:sz w:val="16"/>
          <w:szCs w:val="16"/>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1704. </w:t>
      </w: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 The Conversion Price shall be subject to adjustment from time to time as follows:</w:t>
      </w:r>
    </w:p>
    <w:p>
      <w:pPr>
        <w:spacing w:after="0" w:line="225" w:lineRule="exact"/>
        <w:rPr>
          <w:sz w:val="20"/>
          <w:szCs w:val="20"/>
          <w:color w:val="auto"/>
        </w:rPr>
      </w:pPr>
    </w:p>
    <w:p>
      <w:pPr>
        <w:ind w:left="440" w:right="40" w:firstLine="449"/>
        <w:spacing w:after="0" w:line="270" w:lineRule="auto"/>
        <w:tabs>
          <w:tab w:leader="none" w:pos="113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177" w:lineRule="exact"/>
        <w:rPr>
          <w:rFonts w:ascii="Arial" w:cs="Arial" w:eastAsia="Arial" w:hAnsi="Arial"/>
          <w:sz w:val="17"/>
          <w:szCs w:val="17"/>
          <w:color w:val="auto"/>
        </w:rPr>
      </w:pPr>
    </w:p>
    <w:p>
      <w:pPr>
        <w:ind w:left="440" w:firstLine="449"/>
        <w:spacing w:after="0" w:line="268" w:lineRule="auto"/>
        <w:tabs>
          <w:tab w:leader="none" w:pos="113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1704,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1704) of the Common Stock of the Company on the Rights Record Date.</w:t>
      </w:r>
    </w:p>
    <w:p>
      <w:pPr>
        <w:spacing w:after="0" w:line="180" w:lineRule="exact"/>
        <w:rPr>
          <w:rFonts w:ascii="Arial" w:cs="Arial" w:eastAsia="Arial" w:hAnsi="Arial"/>
          <w:sz w:val="17"/>
          <w:szCs w:val="17"/>
          <w:color w:val="auto"/>
        </w:rPr>
      </w:pPr>
    </w:p>
    <w:p>
      <w:pPr>
        <w:ind w:left="440" w:right="420" w:firstLine="449"/>
        <w:spacing w:after="0" w:line="277" w:lineRule="auto"/>
        <w:tabs>
          <w:tab w:leader="none" w:pos="113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case outstanding shares of Common Stock of the Company shall be subdivided into a greater number of shares of Common Stock, the Conversion Price in effect at the opening of business on the day following the day upon which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60"/>
        <w:spacing w:after="0" w:line="302" w:lineRule="auto"/>
        <w:rPr>
          <w:sz w:val="20"/>
          <w:szCs w:val="20"/>
          <w:color w:val="auto"/>
        </w:rPr>
      </w:pPr>
      <w:r>
        <w:rPr>
          <w:rFonts w:ascii="Arial" w:cs="Arial" w:eastAsia="Arial" w:hAnsi="Arial"/>
          <w:sz w:val="16"/>
          <w:szCs w:val="16"/>
          <w:color w:val="auto"/>
        </w:rPr>
        <w:t>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54" w:lineRule="exact"/>
        <w:rPr>
          <w:sz w:val="20"/>
          <w:szCs w:val="20"/>
          <w:color w:val="auto"/>
        </w:rPr>
      </w:pPr>
    </w:p>
    <w:p>
      <w:pPr>
        <w:ind w:left="440" w:right="20" w:firstLine="449"/>
        <w:spacing w:after="0" w:line="283" w:lineRule="auto"/>
        <w:tabs>
          <w:tab w:leader="none" w:pos="1136" w:val="left"/>
        </w:tabs>
        <w:numPr>
          <w:ilvl w:val="1"/>
          <w:numId w:val="197"/>
        </w:numPr>
        <w:rPr>
          <w:rFonts w:ascii="Arial" w:cs="Arial" w:eastAsia="Arial" w:hAnsi="Arial"/>
          <w:sz w:val="16"/>
          <w:szCs w:val="16"/>
          <w:color w:val="auto"/>
        </w:rPr>
      </w:pPr>
      <w:r>
        <w:rPr>
          <w:rFonts w:ascii="Arial" w:cs="Arial" w:eastAsia="Arial" w:hAnsi="Arial"/>
          <w:sz w:val="16"/>
          <w:szCs w:val="16"/>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1704 applies), the Conversion Price shall be reduced by multiplying such Conversion Price by a fraction of which the numerator shall be the current market price per share (determined as provided in paragraph (7) of this Section 1704)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w:t>
      </w:r>
    </w:p>
    <w:p>
      <w:pPr>
        <w:spacing w:after="0" w:line="5" w:lineRule="exact"/>
        <w:rPr>
          <w:rFonts w:ascii="Arial" w:cs="Arial" w:eastAsia="Arial" w:hAnsi="Arial"/>
          <w:sz w:val="16"/>
          <w:szCs w:val="16"/>
          <w:color w:val="auto"/>
        </w:rPr>
      </w:pPr>
    </w:p>
    <w:p>
      <w:pPr>
        <w:ind w:left="440" w:right="80" w:firstLine="8"/>
        <w:spacing w:after="0" w:line="288" w:lineRule="auto"/>
        <w:tabs>
          <w:tab w:leader="none" w:pos="68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date fixed for the payment of such distribution and (b) the date 20 days after notice relating to such distribution is required to be given pursuant to Section 1706(a).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1704. In the event that, with respect to any distribution to which this paragraph (4) of Section 1704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1711 shall apply with respect to such Unadjusted Distribution.</w:t>
      </w:r>
    </w:p>
    <w:p>
      <w:pPr>
        <w:spacing w:after="0" w:line="168" w:lineRule="exact"/>
        <w:rPr>
          <w:rFonts w:ascii="Arial" w:cs="Arial" w:eastAsia="Arial" w:hAnsi="Arial"/>
          <w:sz w:val="16"/>
          <w:szCs w:val="16"/>
          <w:color w:val="auto"/>
        </w:rPr>
      </w:pPr>
    </w:p>
    <w:p>
      <w:pPr>
        <w:ind w:left="1140" w:hanging="251"/>
        <w:spacing w:after="0"/>
        <w:tabs>
          <w:tab w:leader="none" w:pos="114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Company may, but shall not be required to, make such reductions in the Conversion Price, in addition to those required by paragraphs (1),</w:t>
      </w:r>
    </w:p>
    <w:p>
      <w:pPr>
        <w:spacing w:after="0" w:line="46" w:lineRule="exact"/>
        <w:rPr>
          <w:rFonts w:ascii="Arial" w:cs="Arial" w:eastAsia="Arial" w:hAnsi="Arial"/>
          <w:sz w:val="16"/>
          <w:szCs w:val="16"/>
          <w:color w:val="auto"/>
        </w:rPr>
      </w:pPr>
    </w:p>
    <w:p>
      <w:pPr>
        <w:ind w:left="440" w:right="400"/>
        <w:spacing w:after="0" w:line="273" w:lineRule="auto"/>
        <w:rPr>
          <w:rFonts w:ascii="Arial" w:cs="Arial" w:eastAsia="Arial" w:hAnsi="Arial"/>
          <w:sz w:val="16"/>
          <w:szCs w:val="16"/>
          <w:color w:val="auto"/>
        </w:rPr>
      </w:pPr>
      <w:r>
        <w:rPr>
          <w:rFonts w:ascii="Arial" w:cs="Arial" w:eastAsia="Arial" w:hAnsi="Arial"/>
          <w:sz w:val="17"/>
          <w:szCs w:val="17"/>
          <w:color w:val="auto"/>
        </w:rPr>
        <w:t>(2), (3), and (4) of this Section 1704,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176" w:lineRule="exact"/>
        <w:rPr>
          <w:rFonts w:ascii="Arial" w:cs="Arial" w:eastAsia="Arial" w:hAnsi="Arial"/>
          <w:sz w:val="16"/>
          <w:szCs w:val="16"/>
          <w:color w:val="auto"/>
        </w:rPr>
      </w:pPr>
    </w:p>
    <w:p>
      <w:pPr>
        <w:ind w:left="440" w:right="220" w:firstLine="449"/>
        <w:spacing w:after="0" w:line="342" w:lineRule="auto"/>
        <w:tabs>
          <w:tab w:leader="none" w:pos="1136" w:val="left"/>
        </w:tabs>
        <w:numPr>
          <w:ilvl w:val="1"/>
          <w:numId w:val="198"/>
        </w:numPr>
        <w:rPr>
          <w:rFonts w:ascii="Arial" w:cs="Arial" w:eastAsia="Arial" w:hAnsi="Arial"/>
          <w:sz w:val="16"/>
          <w:szCs w:val="16"/>
          <w:color w:val="auto"/>
        </w:rPr>
      </w:pPr>
      <w:r>
        <w:rPr>
          <w:rFonts w:ascii="Arial" w:cs="Arial" w:eastAsia="Arial" w:hAnsi="Arial"/>
          <w:sz w:val="16"/>
          <w:szCs w:val="16"/>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w:t>
      </w:r>
    </w:p>
    <w:p>
      <w:pPr>
        <w:sectPr>
          <w:pgSz w:w="11900" w:h="16908" w:orient="portrait"/>
          <w:cols w:equalWidth="0" w:num="1">
            <w:col w:w="11400"/>
          </w:cols>
          <w:pgMar w:left="240" w:top="341" w:right="259" w:bottom="0" w:gutter="0" w:footer="0" w:header="0"/>
        </w:sectPr>
      </w:pPr>
    </w:p>
    <w:bookmarkStart w:id="140" w:name="page141"/>
    <w:bookmarkEnd w:id="140"/>
    <w:p>
      <w:pPr>
        <w:ind w:left="280" w:hanging="272"/>
        <w:spacing w:after="0"/>
        <w:tabs>
          <w:tab w:leader="none" w:pos="28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are not exercisable and (iii) are also issued or distributed in respect of future issuances of Common Stock, in each case in clauses (i) through</w:t>
      </w:r>
    </w:p>
    <w:p>
      <w:pPr>
        <w:spacing w:after="0" w:line="34" w:lineRule="exact"/>
        <w:rPr>
          <w:rFonts w:ascii="Arial" w:cs="Arial" w:eastAsia="Arial" w:hAnsi="Arial"/>
          <w:sz w:val="17"/>
          <w:szCs w:val="17"/>
          <w:color w:val="auto"/>
        </w:rPr>
      </w:pPr>
    </w:p>
    <w:p>
      <w:pPr>
        <w:ind w:right="20" w:firstLine="8"/>
        <w:spacing w:after="0" w:line="268" w:lineRule="auto"/>
        <w:tabs>
          <w:tab w:leader="none" w:pos="31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until the occurrence of a specified event or events (“Trigger Events”), shall for purposes of this Section 1704 not be deemed issued or distributed until the occurrence of the earliest Trigger Event. Each share of Common Stock issued upon conversion of Securities pursuant to this Article Seventeen shall be entitled to receive the appropriate number of Common Stock purchase rights (the “Rights”), if any, and the certificates representing the Common Stock issued upon conversion shall bear such legends, if any. Notwithstanding anything to the contrary in this Article Seventeen,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184" w:lineRule="exact"/>
        <w:rPr>
          <w:rFonts w:ascii="Arial" w:cs="Arial" w:eastAsia="Arial" w:hAnsi="Arial"/>
          <w:sz w:val="17"/>
          <w:szCs w:val="17"/>
          <w:color w:val="auto"/>
        </w:rPr>
      </w:pPr>
    </w:p>
    <w:p>
      <w:pPr>
        <w:ind w:right="240" w:firstLine="449"/>
        <w:spacing w:after="0" w:line="286" w:lineRule="auto"/>
        <w:tabs>
          <w:tab w:leader="none" w:pos="696" w:val="left"/>
        </w:tabs>
        <w:numPr>
          <w:ilvl w:val="1"/>
          <w:numId w:val="199"/>
        </w:numPr>
        <w:rPr>
          <w:rFonts w:ascii="Arial" w:cs="Arial" w:eastAsia="Arial" w:hAnsi="Arial"/>
          <w:sz w:val="17"/>
          <w:szCs w:val="17"/>
          <w:color w:val="auto"/>
        </w:rPr>
      </w:pPr>
      <w:r>
        <w:rPr>
          <w:rFonts w:ascii="Arial" w:cs="Arial" w:eastAsia="Arial" w:hAnsi="Arial"/>
          <w:sz w:val="17"/>
          <w:szCs w:val="17"/>
          <w:color w:val="auto"/>
        </w:rPr>
        <w:t>For the purpose of any computation under paragraph (2), (4) or (5) of this Section 1704,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65" w:lineRule="exact"/>
        <w:rPr>
          <w:rFonts w:ascii="Arial" w:cs="Arial" w:eastAsia="Arial" w:hAnsi="Arial"/>
          <w:sz w:val="17"/>
          <w:szCs w:val="17"/>
          <w:color w:val="auto"/>
        </w:rPr>
      </w:pPr>
    </w:p>
    <w:p>
      <w:pPr>
        <w:ind w:right="160" w:firstLine="449"/>
        <w:spacing w:after="0" w:line="264" w:lineRule="auto"/>
        <w:tabs>
          <w:tab w:leader="none" w:pos="696"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No adjustment in the Conversion Price shall be required unless such adjustment would require an increase or decrease of at least 1% in the Conversion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adjustments which by reason of this paragraph (8) are not required to be made shall be carried forward and taken into account in any subsequent adjustment. All calculations under this</w:t>
      </w:r>
    </w:p>
    <w:p>
      <w:pPr>
        <w:spacing w:after="0" w:line="1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Article Seventeen shall be made to the nearest cent or to the nearest one-hundredth of a share of Common Stock, as the case may be.</w:t>
      </w:r>
    </w:p>
    <w:p>
      <w:pPr>
        <w:spacing w:after="0" w:line="225" w:lineRule="exact"/>
        <w:rPr>
          <w:sz w:val="20"/>
          <w:szCs w:val="20"/>
          <w:color w:val="auto"/>
        </w:rPr>
      </w:pPr>
    </w:p>
    <w:p>
      <w:pPr>
        <w:ind w:firstLine="449"/>
        <w:spacing w:after="0" w:line="255" w:lineRule="auto"/>
        <w:tabs>
          <w:tab w:leader="none" w:pos="68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Seventeen) had such dividend or distribution never been declared.</w:t>
      </w:r>
    </w:p>
    <w:p>
      <w:pPr>
        <w:spacing w:after="0" w:line="193" w:lineRule="exact"/>
        <w:rPr>
          <w:rFonts w:ascii="Arial" w:cs="Arial" w:eastAsia="Arial" w:hAnsi="Arial"/>
          <w:sz w:val="18"/>
          <w:szCs w:val="18"/>
          <w:color w:val="auto"/>
        </w:rPr>
      </w:pPr>
    </w:p>
    <w:p>
      <w:pPr>
        <w:ind w:right="220" w:firstLine="450"/>
        <w:spacing w:after="0" w:line="302" w:lineRule="auto"/>
        <w:tabs>
          <w:tab w:leader="none" w:pos="78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1704,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154" w:lineRule="exact"/>
        <w:rPr>
          <w:rFonts w:ascii="Arial" w:cs="Arial" w:eastAsia="Arial" w:hAnsi="Arial"/>
          <w:sz w:val="16"/>
          <w:szCs w:val="16"/>
          <w:color w:val="auto"/>
        </w:rPr>
      </w:pPr>
    </w:p>
    <w:p>
      <w:pPr>
        <w:ind w:right="20" w:firstLine="450"/>
        <w:spacing w:after="0" w:line="269" w:lineRule="auto"/>
        <w:tabs>
          <w:tab w:leader="none" w:pos="77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In the event that this Article Seventeen requires adjustments to the Conversion Price under more than one of paragraphs (1), (2), (3) or (4) of this Section 1704, and the record or effective dates for the transaction giving rise to such adjustments shall occur on the same date, then such adjustments shall be made by applying (to the extent they are applicable), first, the provisions of paragraph (3) of this Section 1704, second, the provisions of paragraph (1) of this Section 1704, third, the provisions of paragraph (4) of this Section 1704 and, fourth, the provisions of</w:t>
      </w:r>
    </w:p>
    <w:p>
      <w:pPr>
        <w:spacing w:after="0" w:line="2" w:lineRule="exact"/>
        <w:rPr>
          <w:rFonts w:ascii="Arial" w:cs="Arial" w:eastAsia="Arial" w:hAnsi="Arial"/>
          <w:sz w:val="17"/>
          <w:szCs w:val="17"/>
          <w:color w:val="auto"/>
        </w:rPr>
      </w:pPr>
    </w:p>
    <w:p>
      <w:pPr>
        <w:ind w:right="20"/>
        <w:spacing w:after="0" w:line="270" w:lineRule="auto"/>
        <w:rPr>
          <w:rFonts w:ascii="Arial" w:cs="Arial" w:eastAsia="Arial" w:hAnsi="Arial"/>
          <w:sz w:val="17"/>
          <w:szCs w:val="17"/>
          <w:color w:val="auto"/>
        </w:rPr>
      </w:pPr>
      <w:r>
        <w:rPr>
          <w:rFonts w:ascii="Arial" w:cs="Arial" w:eastAsia="Arial" w:hAnsi="Arial"/>
          <w:sz w:val="17"/>
          <w:szCs w:val="17"/>
          <w:color w:val="auto"/>
        </w:rPr>
        <w:t>paragraph (2) of this Section 1704. Anything herein to the contrary notwithstanding, no single event shall require or result in duplicative adjustments in the Conversion Price pursuant to this Section 1704. After an adjustment to the Conversion Price under this Article Seventeen, any subsequent event requiring an adjustment under this Article Seventeen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Seventeen with respect to the Common Stock in this Article Seventeen.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1705. </w:t>
      </w:r>
      <w:r>
        <w:rPr>
          <w:rFonts w:ascii="Arial" w:cs="Arial" w:eastAsia="Arial" w:hAnsi="Arial"/>
          <w:sz w:val="18"/>
          <w:szCs w:val="18"/>
          <w:u w:val="single" w:color="auto"/>
          <w:color w:val="auto"/>
        </w:rPr>
        <w:t>Notice of Adjustments of Conversion Price</w:t>
      </w:r>
      <w:r>
        <w:rPr>
          <w:rFonts w:ascii="Arial" w:cs="Arial" w:eastAsia="Arial" w:hAnsi="Arial"/>
          <w:sz w:val="18"/>
          <w:szCs w:val="18"/>
          <w:color w:val="auto"/>
        </w:rPr>
        <w:t>. Whenever the Conversion Price is adjusted as herein provided:</w:t>
      </w:r>
    </w:p>
    <w:p>
      <w:pPr>
        <w:spacing w:after="0" w:line="225" w:lineRule="exact"/>
        <w:rPr>
          <w:sz w:val="20"/>
          <w:szCs w:val="20"/>
          <w:color w:val="auto"/>
        </w:rPr>
      </w:pPr>
    </w:p>
    <w:p>
      <w:pPr>
        <w:ind w:right="280" w:firstLine="449"/>
        <w:spacing w:after="0" w:line="259" w:lineRule="auto"/>
        <w:tabs>
          <w:tab w:leader="none" w:pos="69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Company shall compute the adjusted Conversion Price in accordance with Section 1704 or Section 1711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86" w:lineRule="exact"/>
        <w:rPr>
          <w:rFonts w:ascii="Arial" w:cs="Arial" w:eastAsia="Arial" w:hAnsi="Arial"/>
          <w:sz w:val="18"/>
          <w:szCs w:val="18"/>
          <w:color w:val="auto"/>
        </w:rPr>
      </w:pPr>
    </w:p>
    <w:p>
      <w:pPr>
        <w:ind w:right="40" w:firstLine="449"/>
        <w:spacing w:after="0" w:line="264" w:lineRule="auto"/>
        <w:tabs>
          <w:tab w:leader="none" w:pos="69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1706. </w:t>
      </w:r>
      <w:r>
        <w:rPr>
          <w:rFonts w:ascii="Arial" w:cs="Arial" w:eastAsia="Arial" w:hAnsi="Arial"/>
          <w:sz w:val="18"/>
          <w:szCs w:val="18"/>
          <w:u w:val="single" w:color="auto"/>
          <w:color w:val="auto"/>
        </w:rPr>
        <w:t>Notice of Certain Corporate Action</w:t>
      </w:r>
      <w:r>
        <w:rPr>
          <w:rFonts w:ascii="Arial" w:cs="Arial" w:eastAsia="Arial" w:hAnsi="Arial"/>
          <w:sz w:val="18"/>
          <w:szCs w:val="18"/>
          <w:color w:val="auto"/>
        </w:rPr>
        <w:t>. In case:</w:t>
      </w:r>
    </w:p>
    <w:p>
      <w:pPr>
        <w:spacing w:after="0" w:line="225" w:lineRule="exact"/>
        <w:rPr>
          <w:sz w:val="20"/>
          <w:szCs w:val="20"/>
          <w:color w:val="auto"/>
        </w:rPr>
      </w:pPr>
    </w:p>
    <w:p>
      <w:pPr>
        <w:ind w:left="700" w:hanging="251"/>
        <w:spacing w:after="0"/>
        <w:tabs>
          <w:tab w:leader="none" w:pos="7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Company shall take any action that would require a Conversion Price adjustment pursuant to Section 1704 or Section 1711; or</w:t>
      </w:r>
    </w:p>
    <w:p>
      <w:pPr>
        <w:spacing w:after="0" w:line="236" w:lineRule="exact"/>
        <w:rPr>
          <w:rFonts w:ascii="Arial" w:cs="Arial" w:eastAsia="Arial" w:hAnsi="Arial"/>
          <w:sz w:val="17"/>
          <w:szCs w:val="17"/>
          <w:color w:val="auto"/>
        </w:rPr>
      </w:pPr>
    </w:p>
    <w:p>
      <w:pPr>
        <w:ind w:right="20" w:firstLine="449"/>
        <w:spacing w:after="0" w:line="264" w:lineRule="auto"/>
        <w:tabs>
          <w:tab w:leader="none" w:pos="69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181" w:lineRule="exact"/>
        <w:rPr>
          <w:rFonts w:ascii="Arial" w:cs="Arial" w:eastAsia="Arial" w:hAnsi="Arial"/>
          <w:sz w:val="18"/>
          <w:szCs w:val="18"/>
          <w:color w:val="auto"/>
        </w:rPr>
      </w:pPr>
    </w:p>
    <w:p>
      <w:pPr>
        <w:ind w:firstLine="449"/>
        <w:spacing w:after="0" w:line="273" w:lineRule="auto"/>
        <w:tabs>
          <w:tab w:leader="none" w:pos="69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w:t>
      </w:r>
    </w:p>
    <w:p>
      <w:pPr>
        <w:sectPr>
          <w:pgSz w:w="11900" w:h="16838" w:orient="portrait"/>
          <w:cols w:equalWidth="0" w:num="1">
            <w:col w:w="10940"/>
          </w:cols>
          <w:pgMar w:left="680" w:top="125" w:right="279" w:bottom="123" w:gutter="0" w:footer="0" w:header="0"/>
        </w:sectPr>
      </w:pPr>
    </w:p>
    <w:p>
      <w:pPr>
        <w:spacing w:after="0" w:line="178"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95885</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680" w:top="125" w:right="279" w:bottom="123" w:gutter="0" w:footer="0" w:header="0"/>
          <w:type w:val="continuous"/>
        </w:sectPr>
      </w:pPr>
    </w:p>
    <w:bookmarkStart w:id="141" w:name="page142"/>
    <w:bookmarkEnd w:id="141"/>
    <w:p>
      <w:pPr>
        <w:jc w:val="both"/>
        <w:ind w:left="440" w:right="140"/>
        <w:spacing w:after="0" w:line="264" w:lineRule="auto"/>
        <w:rPr>
          <w:sz w:val="20"/>
          <w:szCs w:val="20"/>
          <w:color w:val="auto"/>
        </w:rPr>
      </w:pPr>
      <w:r>
        <w:rPr>
          <w:rFonts w:ascii="Arial" w:cs="Arial" w:eastAsia="Arial" w:hAnsi="Arial"/>
          <w:sz w:val="18"/>
          <w:szCs w:val="18"/>
          <w:color w:val="auto"/>
        </w:rPr>
        <w:t>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8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SECTION 1707. </w:t>
      </w:r>
      <w:r>
        <w:rPr>
          <w:rFonts w:ascii="Arial" w:cs="Arial" w:eastAsia="Arial" w:hAnsi="Arial"/>
          <w:sz w:val="18"/>
          <w:szCs w:val="18"/>
          <w:u w:val="single" w:color="auto"/>
          <w:color w:val="auto"/>
        </w:rPr>
        <w:t>Company to Reserve Common Stock</w:t>
      </w:r>
      <w:r>
        <w:rPr>
          <w:rFonts w:ascii="Arial" w:cs="Arial" w:eastAsia="Arial" w:hAnsi="Arial"/>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8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1708. </w:t>
      </w:r>
      <w:r>
        <w:rPr>
          <w:rFonts w:ascii="Arial" w:cs="Arial" w:eastAsia="Arial" w:hAnsi="Arial"/>
          <w:sz w:val="18"/>
          <w:szCs w:val="18"/>
          <w:u w:val="single" w:color="auto"/>
          <w:color w:val="auto"/>
        </w:rPr>
        <w:t>Taxes on Conversion</w:t>
      </w:r>
      <w:r>
        <w:rPr>
          <w:rFonts w:ascii="Arial" w:cs="Arial" w:eastAsia="Arial" w:hAnsi="Arial"/>
          <w:sz w:val="18"/>
          <w:szCs w:val="18"/>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8"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SECTION 1709. </w:t>
      </w:r>
      <w:r>
        <w:rPr>
          <w:rFonts w:ascii="Arial" w:cs="Arial" w:eastAsia="Arial" w:hAnsi="Arial"/>
          <w:sz w:val="18"/>
          <w:szCs w:val="18"/>
          <w:u w:val="single" w:color="auto"/>
          <w:color w:val="auto"/>
        </w:rPr>
        <w:t>Covenants as to Common Stock</w:t>
      </w:r>
      <w:r>
        <w:rPr>
          <w:rFonts w:ascii="Arial" w:cs="Arial" w:eastAsia="Arial" w:hAnsi="Arial"/>
          <w:sz w:val="18"/>
          <w:szCs w:val="18"/>
          <w:color w:val="auto"/>
        </w:rPr>
        <w:t>. The Company covenants that all shares of Common Stock which may be issued upon conversion of Securities will upon issue be duly and validly issued, fully paid and nonassessable, free of preemptive or any similar rights, and, except as provided in Section 1708, the Company will pay all taxes, liens and charges with respect to the issue thereof.</w:t>
      </w:r>
    </w:p>
    <w:p>
      <w:pPr>
        <w:spacing w:after="0" w:line="181"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SECTION 1710. </w:t>
      </w:r>
      <w:r>
        <w:rPr>
          <w:rFonts w:ascii="Arial" w:cs="Arial" w:eastAsia="Arial" w:hAnsi="Arial"/>
          <w:sz w:val="18"/>
          <w:szCs w:val="18"/>
          <w:u w:val="single" w:color="auto"/>
          <w:color w:val="auto"/>
        </w:rPr>
        <w:t>Cancellation of Converted Securities</w:t>
      </w:r>
      <w:r>
        <w:rPr>
          <w:rFonts w:ascii="Arial" w:cs="Arial" w:eastAsia="Arial" w:hAnsi="Arial"/>
          <w:sz w:val="18"/>
          <w:szCs w:val="18"/>
          <w:color w:val="auto"/>
        </w:rPr>
        <w:t>. All Securities delivered for conversion shall be delivered to the Trustee to be cancelled by or at the direction of the Trustee, which shall dispose of the same as provided in Section 309.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SECTION 1711. </w:t>
      </w:r>
      <w:r>
        <w:rPr>
          <w:rFonts w:ascii="Arial" w:cs="Arial" w:eastAsia="Arial" w:hAnsi="Arial"/>
          <w:sz w:val="17"/>
          <w:szCs w:val="17"/>
          <w:u w:val="single" w:color="auto"/>
          <w:color w:val="auto"/>
        </w:rPr>
        <w:t>Provisions in Case of Consolidation, Merger or Sale of Assets; Special Distributions</w:t>
      </w:r>
      <w:r>
        <w:rPr>
          <w:rFonts w:ascii="Arial" w:cs="Arial" w:eastAsia="Arial" w:hAnsi="Arial"/>
          <w:sz w:val="17"/>
          <w:szCs w:val="17"/>
          <w:color w:val="auto"/>
        </w:rPr>
        <w:t>. If any of the following shall occur, namely:</w:t>
      </w:r>
    </w:p>
    <w:p>
      <w:pPr>
        <w:spacing w:after="0" w:line="35" w:lineRule="exact"/>
        <w:rPr>
          <w:sz w:val="20"/>
          <w:szCs w:val="20"/>
          <w:color w:val="auto"/>
        </w:rPr>
      </w:pPr>
    </w:p>
    <w:p>
      <w:pPr>
        <w:ind w:firstLine="8"/>
        <w:spacing w:after="0" w:line="285" w:lineRule="auto"/>
        <w:tabs>
          <w:tab w:leader="none" w:pos="21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1701,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172" w:lineRule="exact"/>
        <w:rPr>
          <w:rFonts w:ascii="Arial" w:cs="Arial" w:eastAsia="Arial" w:hAnsi="Arial"/>
          <w:sz w:val="16"/>
          <w:szCs w:val="16"/>
          <w:color w:val="auto"/>
        </w:rPr>
      </w:pPr>
    </w:p>
    <w:p>
      <w:pPr>
        <w:jc w:val="both"/>
        <w:ind w:left="440" w:right="140" w:firstLine="449"/>
        <w:spacing w:after="0" w:line="264" w:lineRule="auto"/>
        <w:tabs>
          <w:tab w:leader="none" w:pos="113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181" w:lineRule="exact"/>
        <w:rPr>
          <w:rFonts w:ascii="Arial" w:cs="Arial" w:eastAsia="Arial" w:hAnsi="Arial"/>
          <w:sz w:val="18"/>
          <w:szCs w:val="18"/>
          <w:color w:val="auto"/>
        </w:rPr>
      </w:pPr>
    </w:p>
    <w:p>
      <w:pPr>
        <w:jc w:val="both"/>
        <w:ind w:left="440" w:right="40" w:firstLine="449"/>
        <w:spacing w:after="0" w:line="259" w:lineRule="auto"/>
        <w:tabs>
          <w:tab w:leader="none" w:pos="113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1711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the kind and amount of securities, cash and other property receivable upon such consolidation, merger, sale, transfer or lease shall be deemed to be the kind and amount so receivable per share by a plurality of such shares of Common Stock).</w:t>
      </w:r>
    </w:p>
    <w:p>
      <w:pPr>
        <w:spacing w:after="0" w:line="170"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Such supplemental indenture shall provide for adjustments which, for events subsequent to the effective date of such supplemental indenture, shall be as nearly equivalent as may be practicable to the adjustments provided for in this Article Seventeen.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1711 shall similarly apply to successive consolidations, mergers, sales, transfers or leases.</w:t>
      </w:r>
    </w:p>
    <w:p>
      <w:pPr>
        <w:spacing w:after="0" w:line="16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In the event the Company shall execute a supplemental indenture pursuant to this Section 1711,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If the Company makes a distribution to all holders of its Common Stock that constitutes an Unadjusted Distribution pursuant to the last sentence of paragraph (4) of Section 1704,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ectPr>
          <w:pgSz w:w="11900" w:h="16838" w:orient="portrait"/>
          <w:cols w:equalWidth="0" w:num="1">
            <w:col w:w="11420"/>
          </w:cols>
          <w:pgMar w:left="240" w:top="341" w:right="239" w:bottom="0" w:gutter="0" w:footer="0" w:header="0"/>
        </w:sectPr>
      </w:pPr>
    </w:p>
    <w:bookmarkStart w:id="142" w:name="page143"/>
    <w:bookmarkEnd w:id="142"/>
    <w:p>
      <w:pPr>
        <w:ind w:firstLine="441"/>
        <w:spacing w:after="0" w:line="255" w:lineRule="auto"/>
        <w:rPr>
          <w:sz w:val="20"/>
          <w:szCs w:val="20"/>
          <w:color w:val="auto"/>
        </w:rPr>
      </w:pPr>
      <w:r>
        <w:rPr>
          <w:rFonts w:ascii="Arial" w:cs="Arial" w:eastAsia="Arial" w:hAnsi="Arial"/>
          <w:sz w:val="18"/>
          <w:szCs w:val="18"/>
          <w:color w:val="auto"/>
        </w:rPr>
        <w:t xml:space="preserve">SECTION 1712. </w:t>
      </w:r>
      <w:r>
        <w:rPr>
          <w:rFonts w:ascii="Arial" w:cs="Arial" w:eastAsia="Arial" w:hAnsi="Arial"/>
          <w:sz w:val="18"/>
          <w:szCs w:val="18"/>
          <w:u w:val="single" w:color="auto"/>
          <w:color w:val="auto"/>
        </w:rPr>
        <w:t>Trustee Adjustment Disclaimer; Company Determination Final</w:t>
      </w:r>
      <w:r>
        <w:rPr>
          <w:rFonts w:ascii="Arial" w:cs="Arial" w:eastAsia="Arial" w:hAnsi="Arial"/>
          <w:sz w:val="18"/>
          <w:szCs w:val="18"/>
          <w:color w:val="auto"/>
        </w:rPr>
        <w:t>. The Trustee has no duty to determine when an adjustment under this Article Seventeen should be made, how it should be made or what it should be. The Trustee has no duty to determine whether a supplemental indenture under Section 1711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Seventeen. Any determination that the Company or the Board of Directors must make pursuant to this Article Seventeen is conclusive, absent manifest error.</w:t>
      </w:r>
    </w:p>
    <w:p>
      <w:pPr>
        <w:spacing w:after="0" w:line="193"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SECTION 1713. </w:t>
      </w:r>
      <w:r>
        <w:rPr>
          <w:rFonts w:ascii="Arial" w:cs="Arial" w:eastAsia="Arial" w:hAnsi="Arial"/>
          <w:sz w:val="18"/>
          <w:szCs w:val="18"/>
          <w:u w:val="single" w:color="auto"/>
          <w:color w:val="auto"/>
        </w:rPr>
        <w:t>When No Adjustment Required</w:t>
      </w:r>
      <w:r>
        <w:rPr>
          <w:rFonts w:ascii="Arial" w:cs="Arial" w:eastAsia="Arial" w:hAnsi="Arial"/>
          <w:sz w:val="18"/>
          <w:szCs w:val="18"/>
          <w:color w:val="auto"/>
        </w:rPr>
        <w:t>. Except as expressly set forth in Section 1704,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7" w:lineRule="exact"/>
        <w:rPr>
          <w:sz w:val="20"/>
          <w:szCs w:val="20"/>
          <w:color w:val="auto"/>
        </w:rPr>
      </w:pPr>
    </w:p>
    <w:p>
      <w:pPr>
        <w:jc w:val="both"/>
        <w:ind w:left="440" w:right="60" w:firstLine="449"/>
        <w:spacing w:after="0" w:line="259" w:lineRule="auto"/>
        <w:tabs>
          <w:tab w:leader="none" w:pos="113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 adjustment in the Conversion Price shall be made pursuant to Section 1704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SECTION 1714. </w:t>
      </w:r>
      <w:r>
        <w:rPr>
          <w:rFonts w:ascii="Arial" w:cs="Arial" w:eastAsia="Arial" w:hAnsi="Arial"/>
          <w:sz w:val="18"/>
          <w:szCs w:val="18"/>
          <w:u w:val="single" w:color="auto"/>
          <w:color w:val="auto"/>
        </w:rPr>
        <w:t>Equivalent Adjustments</w:t>
      </w:r>
      <w:r>
        <w:rPr>
          <w:rFonts w:ascii="Arial" w:cs="Arial" w:eastAsia="Arial" w:hAnsi="Arial"/>
          <w:sz w:val="18"/>
          <w:szCs w:val="18"/>
          <w:color w:val="auto"/>
        </w:rPr>
        <w:t>. In the event that, as a result of an adjustment made pursuant to Section 1704 above, the holder of any Security thereafter surrendered for conversion shall become entitled to receive any shares of Capital Stock of the Company other than shares of its Common Stock, thereafter the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Conversion Price of such other shares so receivable upon conversion of any Securities shall be subject to adjustment from time to time in a manner and on terms as nearly equivalent as practicable to the provisions with respect to Common Stock contained in this Article Seventeen.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ESPERION THERAPEUTICS,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REDEEMABLE OR NON-REDEEMABLE SUBORDINATED SECURITY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the Holder of this Security (as indicated below) is The Depository Trust Company (“DTC”) or a nominee of DTC, this Security is a Global Security and the following two legends apply: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8"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r>
        <w:rPr>
          <w:rFonts w:ascii="Arial" w:cs="Arial" w:eastAsia="Arial" w:hAnsi="Arial"/>
          <w:sz w:val="18"/>
          <w:szCs w:val="18"/>
          <w:color w:val="auto"/>
        </w:rPr>
        <w:t>]</w:t>
      </w:r>
    </w:p>
    <w:p>
      <w:pPr>
        <w:spacing w:after="0" w:line="18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If this Security is an Original Issue Discount Security, insert</w:t>
      </w:r>
      <w:r>
        <w:rPr>
          <w:rFonts w:ascii="Arial" w:cs="Arial" w:eastAsia="Arial" w:hAnsi="Arial"/>
          <w:sz w:val="16"/>
          <w:szCs w:val="16"/>
          <w:color w:val="auto"/>
        </w:rPr>
        <w:t xml:space="preserve"> — FOR PURPOSES OF SECTION 1273 and 1275 OF THE UNITED STATES INTERNAL REVENUE CODE, THE AMOUNT OF ORIGINAL ISSUE DISCOUNT ON THIS SECURITY IS % OF ITS PRINCIPAL AMOUNT, THE ISSUE</w:t>
      </w:r>
    </w:p>
    <w:p>
      <w:pPr>
        <w:sectPr>
          <w:pgSz w:w="11900" w:h="16838" w:orient="portrait"/>
          <w:cols w:equalWidth="0" w:num="1">
            <w:col w:w="11360"/>
          </w:cols>
          <w:pgMar w:left="240" w:top="125" w:right="299" w:bottom="0" w:gutter="0" w:footer="0" w:header="0"/>
        </w:sectPr>
      </w:pPr>
    </w:p>
    <w:bookmarkStart w:id="143" w:name="page144"/>
    <w:bookmarkEnd w:id="143"/>
    <w:p>
      <w:pPr>
        <w:ind w:right="40"/>
        <w:spacing w:after="0" w:line="272" w:lineRule="auto"/>
        <w:rPr>
          <w:sz w:val="20"/>
          <w:szCs w:val="20"/>
          <w:color w:val="auto"/>
        </w:rPr>
      </w:pPr>
      <w:r>
        <w:rPr>
          <w:rFonts w:ascii="Arial" w:cs="Arial" w:eastAsia="Arial" w:hAnsi="Arial"/>
          <w:sz w:val="18"/>
          <w:szCs w:val="18"/>
          <w:color w:val="auto"/>
        </w:rPr>
        <w:t>DATE IS , 20 , AND THE YIELD TO MATURITY IS %. THE METHOD USED TO DETERMINE THE AMOUNT OF ORIGINAL ISSUE DISCOUNT APPLICABLE TO THE SHORT ACCRUAL PERIOD OF , 20 TO , 20 , IS % OF THE PRINCIPAL AMOUNT OF THIS SECURITY.]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ESPERION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[Designation of Series]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838" w:orient="portrait"/>
          <w:cols w:equalWidth="0" w:num="2">
            <w:col w:w="10260" w:space="720"/>
            <w:col w:w="440"/>
          </w:cols>
          <w:pgMar w:left="240" w:top="125"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ESPERION THERAPEUTICS, INC., a Delaware corporation (herein referred to as the “Company,” which term includes any successor corporation under the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gridSpan w:val="5"/>
          </w:tcPr>
          <w:p>
            <w:pPr>
              <w:spacing w:after="0"/>
              <w:rPr>
                <w:sz w:val="20"/>
                <w:szCs w:val="20"/>
                <w:color w:val="auto"/>
              </w:rPr>
            </w:pPr>
            <w:r>
              <w:rPr>
                <w:rFonts w:ascii="Arial" w:cs="Arial" w:eastAsia="Arial" w:hAnsi="Arial"/>
                <w:sz w:val="18"/>
                <w:szCs w:val="18"/>
                <w:color w:val="auto"/>
                <w:w w:val="96"/>
              </w:rPr>
              <w:t>Indenture referred to on the reverse hereof), for value received, hereby promises to pay to</w:t>
            </w:r>
          </w:p>
        </w:tc>
        <w:tc>
          <w:tcPr>
            <w:tcW w:w="4500" w:type="dxa"/>
            <w:vAlign w:val="bottom"/>
          </w:tcPr>
          <w:p>
            <w:pPr>
              <w:ind w:left="540"/>
              <w:spacing w:after="0"/>
              <w:rPr>
                <w:sz w:val="20"/>
                <w:szCs w:val="20"/>
                <w:color w:val="auto"/>
              </w:rPr>
            </w:pPr>
            <w:r>
              <w:rPr>
                <w:rFonts w:ascii="Arial" w:cs="Arial" w:eastAsia="Arial" w:hAnsi="Arial"/>
                <w:sz w:val="18"/>
                <w:szCs w:val="18"/>
                <w:color w:val="auto"/>
              </w:rPr>
              <w:t>or registered assigns the principal sum of</w:t>
            </w:r>
          </w:p>
        </w:tc>
      </w:tr>
      <w:tr>
        <w:trPr>
          <w:trHeight w:val="190"/>
        </w:trPr>
        <w:tc>
          <w:tcPr>
            <w:tcW w:w="1340" w:type="dxa"/>
            <w:vAlign w:val="bottom"/>
            <w:gridSpan w:val="2"/>
          </w:tcPr>
          <w:p>
            <w:pPr>
              <w:spacing w:after="0" w:line="190" w:lineRule="exact"/>
              <w:rPr>
                <w:sz w:val="20"/>
                <w:szCs w:val="20"/>
                <w:color w:val="auto"/>
              </w:rPr>
            </w:pPr>
            <w:r>
              <w:rPr>
                <w:rFonts w:ascii="Arial" w:cs="Arial" w:eastAsia="Arial" w:hAnsi="Arial"/>
                <w:sz w:val="18"/>
                <w:szCs w:val="18"/>
                <w:color w:val="auto"/>
              </w:rPr>
              <w:t>Dollars on</w:t>
            </w:r>
          </w:p>
        </w:tc>
        <w:tc>
          <w:tcPr>
            <w:tcW w:w="10060" w:type="dxa"/>
            <w:vAlign w:val="bottom"/>
            <w:gridSpan w:val="4"/>
          </w:tcPr>
          <w:p>
            <w:pPr>
              <w:ind w:left="420"/>
              <w:spacing w:after="0" w:line="190" w:lineRule="exact"/>
              <w:rPr>
                <w:sz w:val="20"/>
                <w:szCs w:val="20"/>
                <w:color w:val="auto"/>
              </w:rPr>
            </w:pPr>
            <w:r>
              <w:rPr>
                <w:rFonts w:ascii="Arial" w:cs="Arial" w:eastAsia="Arial" w:hAnsi="Arial"/>
                <w:sz w:val="18"/>
                <w:szCs w:val="18"/>
                <w:color w:val="auto"/>
                <w:w w:val="98"/>
              </w:rPr>
              <w:t>(the “Stated Maturity Date”) [or insert date fixed for earlier redemption (the “Redemption Date,” and together with the Stated</w:t>
            </w:r>
          </w:p>
        </w:tc>
      </w:tr>
      <w:tr>
        <w:trPr>
          <w:trHeight w:val="20"/>
        </w:trPr>
        <w:tc>
          <w:tcPr>
            <w:tcW w:w="60" w:type="dxa"/>
            <w:vAlign w:val="bottom"/>
          </w:tcPr>
          <w:p>
            <w:pPr>
              <w:spacing w:after="0" w:line="20" w:lineRule="exact"/>
              <w:rPr>
                <w:sz w:val="1"/>
                <w:szCs w:val="1"/>
                <w:color w:val="auto"/>
              </w:rPr>
            </w:pPr>
          </w:p>
        </w:tc>
        <w:tc>
          <w:tcPr>
            <w:tcW w:w="4060" w:type="dxa"/>
            <w:vAlign w:val="bottom"/>
            <w:tcBorders>
              <w:right w:val="single" w:sz="8" w:color="auto"/>
            </w:tcBorders>
            <w:gridSpan w:val="2"/>
          </w:tcPr>
          <w:p>
            <w:pPr>
              <w:spacing w:after="0" w:line="20" w:lineRule="exact"/>
              <w:rPr>
                <w:sz w:val="1"/>
                <w:szCs w:val="1"/>
                <w:color w:val="auto"/>
              </w:rPr>
            </w:pPr>
          </w:p>
        </w:tc>
        <w:tc>
          <w:tcPr>
            <w:tcW w:w="2780" w:type="dxa"/>
            <w:vAlign w:val="bottom"/>
            <w:gridSpan w:val="2"/>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37"/>
        </w:trPr>
        <w:tc>
          <w:tcPr>
            <w:tcW w:w="6900" w:type="dxa"/>
            <w:vAlign w:val="bottom"/>
            <w:gridSpan w:val="5"/>
          </w:tcPr>
          <w:p>
            <w:pPr>
              <w:spacing w:after="0"/>
              <w:rPr>
                <w:sz w:val="20"/>
                <w:szCs w:val="20"/>
                <w:color w:val="auto"/>
              </w:rPr>
            </w:pPr>
            <w:r>
              <w:rPr>
                <w:rFonts w:ascii="Arial" w:cs="Arial" w:eastAsia="Arial" w:hAnsi="Arial"/>
                <w:sz w:val="18"/>
                <w:szCs w:val="18"/>
                <w:color w:val="auto"/>
              </w:rPr>
              <w:t>Maturity Date with respect to principal repayable on such date, the “Maturity Date.”)]</w:t>
            </w:r>
          </w:p>
        </w:tc>
        <w:tc>
          <w:tcPr>
            <w:tcW w:w="4500" w:type="dxa"/>
            <w:vAlign w:val="bottom"/>
          </w:tcPr>
          <w:p>
            <w:pPr>
              <w:spacing w:after="0"/>
              <w:rPr>
                <w:sz w:val="20"/>
                <w:szCs w:val="20"/>
                <w:color w:val="auto"/>
              </w:rPr>
            </w:pPr>
          </w:p>
        </w:tc>
      </w:tr>
      <w:tr>
        <w:trPr>
          <w:trHeight w:val="392"/>
        </w:trPr>
        <w:tc>
          <w:tcPr>
            <w:tcW w:w="6900" w:type="dxa"/>
            <w:vAlign w:val="bottom"/>
            <w:gridSpan w:val="5"/>
          </w:tcPr>
          <w:p>
            <w:pPr>
              <w:spacing w:after="0"/>
              <w:rPr>
                <w:sz w:val="20"/>
                <w:szCs w:val="20"/>
                <w:color w:val="auto"/>
              </w:rPr>
            </w:pPr>
            <w:r>
              <w:rPr>
                <w:rFonts w:ascii="Arial" w:cs="Arial" w:eastAsia="Arial" w:hAnsi="Arial"/>
                <w:sz w:val="18"/>
                <w:szCs w:val="18"/>
                <w:color w:val="auto"/>
                <w:w w:val="94"/>
              </w:rPr>
              <w:t>[If the Security is to bear interest prior to Maturity, insert — and to pay interest thereon from</w:t>
            </w:r>
          </w:p>
        </w:tc>
        <w:tc>
          <w:tcPr>
            <w:tcW w:w="4500" w:type="dxa"/>
            <w:vAlign w:val="bottom"/>
          </w:tcPr>
          <w:p>
            <w:pPr>
              <w:ind w:left="780"/>
              <w:spacing w:after="0"/>
              <w:rPr>
                <w:sz w:val="20"/>
                <w:szCs w:val="20"/>
                <w:color w:val="auto"/>
              </w:rPr>
            </w:pPr>
            <w:r>
              <w:rPr>
                <w:rFonts w:ascii="Arial" w:cs="Arial" w:eastAsia="Arial" w:hAnsi="Arial"/>
                <w:sz w:val="18"/>
                <w:szCs w:val="18"/>
                <w:color w:val="auto"/>
                <w:w w:val="94"/>
              </w:rPr>
              <w:t>or from the most recent Interest Payment Date to</w:t>
            </w:r>
          </w:p>
        </w:tc>
      </w:tr>
      <w:tr>
        <w:trPr>
          <w:trHeight w:val="20"/>
        </w:trPr>
        <w:tc>
          <w:tcPr>
            <w:tcW w:w="60" w:type="dxa"/>
            <w:vAlign w:val="bottom"/>
          </w:tcPr>
          <w:p>
            <w:pPr>
              <w:spacing w:after="0" w:line="20" w:lineRule="exact"/>
              <w:rPr>
                <w:sz w:val="1"/>
                <w:szCs w:val="1"/>
                <w:color w:val="auto"/>
              </w:rPr>
            </w:pPr>
          </w:p>
        </w:tc>
        <w:tc>
          <w:tcPr>
            <w:tcW w:w="4060" w:type="dxa"/>
            <w:vAlign w:val="bottom"/>
            <w:tcBorders>
              <w:right w:val="single" w:sz="8" w:color="auto"/>
            </w:tcBorders>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22"/>
        </w:trPr>
        <w:tc>
          <w:tcPr>
            <w:tcW w:w="5360" w:type="dxa"/>
            <w:vAlign w:val="bottom"/>
            <w:gridSpan w:val="4"/>
          </w:tcPr>
          <w:p>
            <w:pPr>
              <w:spacing w:after="0"/>
              <w:rPr>
                <w:sz w:val="20"/>
                <w:szCs w:val="20"/>
                <w:color w:val="auto"/>
              </w:rPr>
            </w:pPr>
            <w:r>
              <w:rPr>
                <w:rFonts w:ascii="Arial" w:cs="Arial" w:eastAsia="Arial" w:hAnsi="Arial"/>
                <w:sz w:val="18"/>
                <w:szCs w:val="18"/>
                <w:color w:val="auto"/>
              </w:rPr>
              <w:t>which interest has been paid or duly provided for, semi-annually on</w:t>
            </w:r>
          </w:p>
        </w:tc>
        <w:tc>
          <w:tcPr>
            <w:tcW w:w="1540" w:type="dxa"/>
            <w:vAlign w:val="bottom"/>
          </w:tcPr>
          <w:p>
            <w:pPr>
              <w:ind w:left="500"/>
              <w:spacing w:after="0"/>
              <w:rPr>
                <w:sz w:val="20"/>
                <w:szCs w:val="20"/>
                <w:color w:val="auto"/>
              </w:rPr>
            </w:pPr>
            <w:r>
              <w:rPr>
                <w:rFonts w:ascii="Arial" w:cs="Arial" w:eastAsia="Arial" w:hAnsi="Arial"/>
                <w:sz w:val="18"/>
                <w:szCs w:val="18"/>
                <w:color w:val="auto"/>
              </w:rPr>
              <w:t>and</w:t>
            </w:r>
          </w:p>
        </w:tc>
        <w:tc>
          <w:tcPr>
            <w:tcW w:w="4500" w:type="dxa"/>
            <w:vAlign w:val="bottom"/>
          </w:tcPr>
          <w:p>
            <w:pPr>
              <w:ind w:left="220"/>
              <w:spacing w:after="0"/>
              <w:rPr>
                <w:sz w:val="20"/>
                <w:szCs w:val="20"/>
                <w:color w:val="auto"/>
              </w:rPr>
            </w:pPr>
            <w:r>
              <w:rPr>
                <w:rFonts w:ascii="Arial" w:cs="Arial" w:eastAsia="Arial" w:hAnsi="Arial"/>
                <w:sz w:val="18"/>
                <w:szCs w:val="18"/>
                <w:color w:val="auto"/>
              </w:rPr>
              <w:t>in each year (each, an “Interest Payment Date”),</w:t>
            </w:r>
          </w:p>
        </w:tc>
      </w:tr>
      <w:tr>
        <w:trPr>
          <w:trHeight w:val="230"/>
        </w:trPr>
        <w:tc>
          <w:tcPr>
            <w:tcW w:w="1340" w:type="dxa"/>
            <w:vAlign w:val="bottom"/>
            <w:gridSpan w:val="2"/>
          </w:tcPr>
          <w:p>
            <w:pPr>
              <w:spacing w:after="0"/>
              <w:rPr>
                <w:sz w:val="20"/>
                <w:szCs w:val="20"/>
                <w:color w:val="auto"/>
              </w:rPr>
            </w:pPr>
            <w:r>
              <w:rPr>
                <w:rFonts w:ascii="Arial" w:cs="Arial" w:eastAsia="Arial" w:hAnsi="Arial"/>
                <w:sz w:val="18"/>
                <w:szCs w:val="18"/>
                <w:color w:val="auto"/>
              </w:rPr>
              <w:t>commencing</w:t>
            </w:r>
          </w:p>
        </w:tc>
        <w:tc>
          <w:tcPr>
            <w:tcW w:w="10060" w:type="dxa"/>
            <w:vAlign w:val="bottom"/>
            <w:gridSpan w:val="4"/>
          </w:tcPr>
          <w:p>
            <w:pPr>
              <w:ind w:left="540"/>
              <w:spacing w:after="0"/>
              <w:rPr>
                <w:sz w:val="20"/>
                <w:szCs w:val="20"/>
                <w:color w:val="auto"/>
              </w:rPr>
            </w:pPr>
            <w:r>
              <w:rPr>
                <w:rFonts w:ascii="Arial" w:cs="Arial" w:eastAsia="Arial" w:hAnsi="Arial"/>
                <w:sz w:val="18"/>
                <w:szCs w:val="18"/>
                <w:color w:val="auto"/>
                <w:w w:val="91"/>
              </w:rPr>
              <w:t>, at the rate of   % per annum, until the principal hereof is paid or duly provided for. The interest so payable, and punctually paid or</w:t>
            </w:r>
          </w:p>
        </w:tc>
      </w:tr>
    </w:tbl>
    <w:p>
      <w:pPr>
        <w:spacing w:after="0"/>
        <w:rPr>
          <w:sz w:val="20"/>
          <w:szCs w:val="20"/>
          <w:color w:val="auto"/>
        </w:rPr>
      </w:pPr>
      <w:r>
        <w:rPr>
          <w:rFonts w:ascii="Arial" w:cs="Arial" w:eastAsia="Arial" w:hAnsi="Arial"/>
          <w:sz w:val="17"/>
          <w:szCs w:val="17"/>
          <w:color w:val="auto"/>
        </w:rPr>
        <w:t>duly provided for, on any Interest Payment Date will, as provided in such Indenture, be paid to the Holder in whose name this Security (or one or more</w:t>
      </w:r>
    </w:p>
    <w:p>
      <w:pPr>
        <w:spacing w:after="0" w:line="21"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Predecessor Securities) is registered at the close of business on the Regular Record Date for such interest, which shall be the</w:t>
      </w:r>
      <w:r>
        <w:rPr>
          <w:sz w:val="20"/>
          <w:szCs w:val="20"/>
          <w:color w:val="auto"/>
        </w:rPr>
        <w:tab/>
      </w:r>
      <w:r>
        <w:rPr>
          <w:rFonts w:ascii="Arial" w:cs="Arial" w:eastAsia="Arial" w:hAnsi="Arial"/>
          <w:sz w:val="15"/>
          <w:szCs w:val="15"/>
          <w:color w:val="auto"/>
        </w:rPr>
        <w:t>or</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(whether or not a Business Day), as the case may be, next preceding such Interest Payment Date [at the office or agency of the Company maintained for such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 the Security is not to bear interest prior to Maturity, insert</w:t>
      </w:r>
      <w:r>
        <w:rPr>
          <w:rFonts w:ascii="Arial" w:cs="Arial" w:eastAsia="Arial" w:hAnsi="Arial"/>
          <w:sz w:val="17"/>
          <w:szCs w:val="17"/>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7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w:t>
      </w:r>
    </w:p>
    <w:p>
      <w:pPr>
        <w:ind w:right="360"/>
        <w:spacing w:after="0" w:line="261" w:lineRule="auto"/>
        <w:rPr>
          <w:sz w:val="20"/>
          <w:szCs w:val="20"/>
          <w:color w:val="auto"/>
        </w:rPr>
      </w:pPr>
      <w:r>
        <w:rPr>
          <w:rFonts w:ascii="Arial" w:cs="Arial" w:eastAsia="Arial" w:hAnsi="Arial"/>
          <w:sz w:val="18"/>
          <w:szCs w:val="18"/>
          <w:color w:val="auto"/>
        </w:rPr>
        <w:t>agency of the Company maintained for that purpose in , in such coin or currency of the United States of America as at the time of payment is legal tender for the payment of public and private debts.</w:t>
      </w:r>
    </w:p>
    <w:p>
      <w:pPr>
        <w:spacing w:after="0" w:line="184"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w:t>
      </w:r>
    </w:p>
    <w:p>
      <w:pPr>
        <w:ind w:right="20"/>
        <w:spacing w:after="0" w:line="288" w:lineRule="auto"/>
        <w:rPr>
          <w:sz w:val="20"/>
          <w:szCs w:val="20"/>
          <w:color w:val="auto"/>
        </w:rPr>
      </w:pPr>
      <w:r>
        <w:rPr>
          <w:rFonts w:ascii="Arial" w:cs="Arial" w:eastAsia="Arial" w:hAnsi="Arial"/>
          <w:sz w:val="16"/>
          <w:szCs w:val="16"/>
          <w:color w:val="auto"/>
        </w:rPr>
        <w:t>including ,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this Security is a Global Security, insert</w:t>
      </w:r>
      <w:r>
        <w:rPr>
          <w:rFonts w:ascii="Arial" w:cs="Arial" w:eastAsia="Arial" w:hAnsi="Arial"/>
          <w:sz w:val="18"/>
          <w:szCs w:val="18"/>
          <w:color w:val="auto"/>
        </w:rPr>
        <w:t xml:space="preserve"> — All payments of principal, premium or Make-Whole Amount, if any, and interest in respect of this Security will be made by the Company in immediately available funds.]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instrument to be duly executed under its facsimile corporate seal.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30702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ESPERION THERAPEUTICS, INC.</w:t>
      </w:r>
    </w:p>
    <w:p>
      <w:pPr>
        <w:sectPr>
          <w:pgSz w:w="11900" w:h="16838" w:orient="portrait"/>
          <w:cols w:equalWidth="0" w:num="1">
            <w:col w:w="11420"/>
          </w:cols>
          <w:pgMar w:left="240" w:top="125" w:right="239" w:bottom="0" w:gutter="0" w:footer="0" w:header="0"/>
          <w:type w:val="continuous"/>
        </w:sectPr>
      </w:pPr>
    </w:p>
    <w:bookmarkStart w:id="144" w:name="page145"/>
    <w:bookmarkEnd w:id="144"/>
    <w:p>
      <w:pPr>
        <w:spacing w:after="0" w:line="8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420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ESPERION THERAPEUTICS, INC.</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w:t>
      </w:r>
    </w:p>
    <w:p>
      <w:pPr>
        <w:spacing w:after="0" w:line="17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Indenture, dated as of , 20 (herein called the “Indenture”) between the Company and ,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Arial" w:cs="Arial" w:eastAsia="Arial" w:hAnsi="Arial"/>
          <w:sz w:val="16"/>
          <w:szCs w:val="16"/>
          <w:u w:val="single" w:color="auto"/>
          <w:color w:val="auto"/>
        </w:rPr>
        <w:t>if applicable, insert</w:t>
      </w:r>
      <w:r>
        <w:rPr>
          <w:rFonts w:ascii="Arial" w:cs="Arial" w:eastAsia="Arial" w:hAnsi="Arial"/>
          <w:sz w:val="16"/>
          <w:szCs w:val="16"/>
          <w:color w:val="auto"/>
        </w:rPr>
        <w:t xml:space="preserve"> — and the aggregate principal</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1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gridSpan w:val="13"/>
          </w:tcPr>
          <w:p>
            <w:pPr>
              <w:spacing w:after="0"/>
              <w:rPr>
                <w:sz w:val="20"/>
                <w:szCs w:val="20"/>
                <w:color w:val="auto"/>
              </w:rPr>
            </w:pPr>
            <w:r>
              <w:rPr>
                <w:rFonts w:ascii="Arial" w:cs="Arial" w:eastAsia="Arial" w:hAnsi="Arial"/>
                <w:sz w:val="18"/>
                <w:szCs w:val="18"/>
                <w:color w:val="auto"/>
              </w:rPr>
              <w:t>[If applicable, insert — The Securities may not be redeemed prior to the Stated Maturity Date.]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r>
      <w:tr>
        <w:trPr>
          <w:trHeight w:val="412"/>
        </w:trPr>
        <w:tc>
          <w:tcPr>
            <w:tcW w:w="7520" w:type="dxa"/>
            <w:vAlign w:val="bottom"/>
            <w:gridSpan w:val="13"/>
          </w:tcPr>
          <w:p>
            <w:pPr>
              <w:spacing w:after="0"/>
              <w:rPr>
                <w:sz w:val="20"/>
                <w:szCs w:val="20"/>
                <w:color w:val="auto"/>
              </w:rPr>
            </w:pPr>
            <w:r>
              <w:rPr>
                <w:rFonts w:ascii="Arial" w:cs="Arial" w:eastAsia="Arial" w:hAnsi="Arial"/>
                <w:sz w:val="18"/>
                <w:szCs w:val="18"/>
                <w:color w:val="auto"/>
              </w:rPr>
              <w:t>[If applicable, insert — The Securities are subject to redemption [ (l) (If applicable, insert — on</w:t>
            </w:r>
          </w:p>
        </w:tc>
        <w:tc>
          <w:tcPr>
            <w:tcW w:w="3780" w:type="dxa"/>
            <w:vAlign w:val="bottom"/>
            <w:gridSpan w:val="4"/>
          </w:tcPr>
          <w:p>
            <w:pPr>
              <w:ind w:left="380"/>
              <w:spacing w:after="0"/>
              <w:rPr>
                <w:sz w:val="20"/>
                <w:szCs w:val="20"/>
                <w:color w:val="auto"/>
              </w:rPr>
            </w:pPr>
            <w:r>
              <w:rPr>
                <w:rFonts w:ascii="Arial" w:cs="Arial" w:eastAsia="Arial" w:hAnsi="Arial"/>
                <w:sz w:val="18"/>
                <w:szCs w:val="18"/>
                <w:color w:val="auto"/>
              </w:rPr>
              <w:t>in any year commencing with the year</w:t>
            </w:r>
          </w:p>
        </w:tc>
      </w:tr>
      <w:tr>
        <w:trPr>
          <w:trHeight w:val="20"/>
        </w:trPr>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80" w:type="dxa"/>
            <w:vAlign w:val="bottom"/>
            <w:gridSpan w:val="3"/>
          </w:tcPr>
          <w:p>
            <w:pPr>
              <w:ind w:left="300"/>
              <w:spacing w:after="0"/>
              <w:rPr>
                <w:sz w:val="20"/>
                <w:szCs w:val="20"/>
                <w:color w:val="auto"/>
              </w:rPr>
            </w:pPr>
            <w:r>
              <w:rPr>
                <w:rFonts w:ascii="Arial" w:cs="Arial" w:eastAsia="Arial" w:hAnsi="Arial"/>
                <w:sz w:val="18"/>
                <w:szCs w:val="18"/>
                <w:color w:val="auto"/>
                <w:w w:val="89"/>
              </w:rPr>
              <w:t>and ending with the year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80" w:type="dxa"/>
            <w:vAlign w:val="bottom"/>
            <w:gridSpan w:val="9"/>
          </w:tcPr>
          <w:p>
            <w:pPr>
              <w:ind w:left="600"/>
              <w:spacing w:after="0"/>
              <w:rPr>
                <w:sz w:val="20"/>
                <w:szCs w:val="20"/>
                <w:color w:val="auto"/>
              </w:rPr>
            </w:pPr>
            <w:r>
              <w:rPr>
                <w:rFonts w:ascii="Arial" w:cs="Arial" w:eastAsia="Arial" w:hAnsi="Arial"/>
                <w:sz w:val="18"/>
                <w:szCs w:val="18"/>
                <w:color w:val="auto"/>
                <w:w w:val="91"/>
              </w:rPr>
              <w:t>through operation of the sinking fund for this series at a Redemption Price equal to 100% of the principal</w:t>
            </w:r>
          </w:p>
        </w:tc>
      </w:tr>
      <w:tr>
        <w:trPr>
          <w:trHeight w:val="190"/>
        </w:trPr>
        <w:tc>
          <w:tcPr>
            <w:tcW w:w="5380" w:type="dxa"/>
            <w:vAlign w:val="bottom"/>
            <w:gridSpan w:val="10"/>
          </w:tcPr>
          <w:p>
            <w:pPr>
              <w:spacing w:after="0" w:line="190" w:lineRule="exact"/>
              <w:rPr>
                <w:sz w:val="20"/>
                <w:szCs w:val="20"/>
                <w:color w:val="auto"/>
              </w:rPr>
            </w:pPr>
            <w:r>
              <w:rPr>
                <w:rFonts w:ascii="Arial" w:cs="Arial" w:eastAsia="Arial" w:hAnsi="Arial"/>
                <w:sz w:val="18"/>
                <w:szCs w:val="18"/>
                <w:color w:val="auto"/>
              </w:rPr>
              <w:t>amount, and (2) ] [If applicable, insert — at any time [on or after</w:t>
            </w:r>
          </w:p>
        </w:tc>
        <w:tc>
          <w:tcPr>
            <w:tcW w:w="5920" w:type="dxa"/>
            <w:vAlign w:val="bottom"/>
            <w:gridSpan w:val="7"/>
          </w:tcPr>
          <w:p>
            <w:pPr>
              <w:ind w:left="240"/>
              <w:spacing w:after="0" w:line="190" w:lineRule="exact"/>
              <w:rPr>
                <w:sz w:val="20"/>
                <w:szCs w:val="20"/>
                <w:color w:val="auto"/>
              </w:rPr>
            </w:pPr>
            <w:r>
              <w:rPr>
                <w:rFonts w:ascii="Arial" w:cs="Arial" w:eastAsia="Arial" w:hAnsi="Arial"/>
                <w:sz w:val="18"/>
                <w:szCs w:val="18"/>
                <w:color w:val="auto"/>
              </w:rPr>
              <w:t>], as a whole or in part, at the election of the Company, at the following</w:t>
            </w:r>
          </w:p>
        </w:tc>
      </w:tr>
      <w:tr>
        <w:trPr>
          <w:trHeight w:val="20"/>
        </w:trPr>
        <w:tc>
          <w:tcPr>
            <w:tcW w:w="1360" w:type="dxa"/>
            <w:vAlign w:val="bottom"/>
            <w:gridSpan w:val="3"/>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380" w:type="dxa"/>
            <w:vAlign w:val="bottom"/>
            <w:gridSpan w:val="10"/>
          </w:tcPr>
          <w:p>
            <w:pPr>
              <w:spacing w:after="0"/>
              <w:rPr>
                <w:sz w:val="20"/>
                <w:szCs w:val="20"/>
                <w:color w:val="auto"/>
              </w:rPr>
            </w:pPr>
            <w:r>
              <w:rPr>
                <w:rFonts w:ascii="Arial" w:cs="Arial" w:eastAsia="Arial" w:hAnsi="Arial"/>
                <w:sz w:val="18"/>
                <w:szCs w:val="18"/>
                <w:color w:val="auto"/>
                <w:w w:val="93"/>
              </w:rPr>
              <w:t>Redemption Prices (expressed as percentages of the principal amount):</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8"/>
        </w:trPr>
        <w:tc>
          <w:tcPr>
            <w:tcW w:w="2740" w:type="dxa"/>
            <w:vAlign w:val="bottom"/>
            <w:gridSpan w:val="5"/>
          </w:tcPr>
          <w:p>
            <w:pPr>
              <w:spacing w:after="0"/>
              <w:rPr>
                <w:sz w:val="20"/>
                <w:szCs w:val="20"/>
                <w:color w:val="auto"/>
              </w:rPr>
            </w:pPr>
            <w:r>
              <w:rPr>
                <w:rFonts w:ascii="Arial" w:cs="Arial" w:eastAsia="Arial" w:hAnsi="Arial"/>
                <w:sz w:val="18"/>
                <w:szCs w:val="18"/>
                <w:color w:val="auto"/>
              </w:rPr>
              <w:t>If redeemed on or before</w:t>
            </w:r>
          </w:p>
        </w:tc>
        <w:tc>
          <w:tcPr>
            <w:tcW w:w="4780" w:type="dxa"/>
            <w:vAlign w:val="bottom"/>
            <w:gridSpan w:val="8"/>
          </w:tcPr>
          <w:p>
            <w:pPr>
              <w:spacing w:after="0"/>
              <w:rPr>
                <w:sz w:val="20"/>
                <w:szCs w:val="20"/>
                <w:color w:val="auto"/>
              </w:rPr>
            </w:pPr>
            <w:r>
              <w:rPr>
                <w:rFonts w:ascii="Arial" w:cs="Arial" w:eastAsia="Arial" w:hAnsi="Arial"/>
                <w:sz w:val="18"/>
                <w:szCs w:val="18"/>
                <w:color w:val="auto"/>
              </w:rPr>
              <w:t>,   % and if redeemed during the 12-month period beginning</w:t>
            </w:r>
          </w:p>
        </w:tc>
        <w:tc>
          <w:tcPr>
            <w:tcW w:w="420" w:type="dxa"/>
            <w:vAlign w:val="bottom"/>
          </w:tcPr>
          <w:p>
            <w:pPr>
              <w:spacing w:after="0"/>
              <w:rPr>
                <w:sz w:val="24"/>
                <w:szCs w:val="24"/>
                <w:color w:val="auto"/>
              </w:rPr>
            </w:pPr>
          </w:p>
        </w:tc>
        <w:tc>
          <w:tcPr>
            <w:tcW w:w="3360" w:type="dxa"/>
            <w:vAlign w:val="bottom"/>
            <w:gridSpan w:val="3"/>
          </w:tcPr>
          <w:p>
            <w:pPr>
              <w:ind w:left="220"/>
              <w:spacing w:after="0"/>
              <w:rPr>
                <w:sz w:val="20"/>
                <w:szCs w:val="20"/>
                <w:color w:val="auto"/>
              </w:rPr>
            </w:pPr>
            <w:r>
              <w:rPr>
                <w:rFonts w:ascii="Arial" w:cs="Arial" w:eastAsia="Arial" w:hAnsi="Arial"/>
                <w:sz w:val="18"/>
                <w:szCs w:val="18"/>
                <w:color w:val="auto"/>
                <w:w w:val="96"/>
              </w:rPr>
              <w:t>of the years indicated at the Redemption</w:t>
            </w:r>
          </w:p>
        </w:tc>
      </w:tr>
      <w:tr>
        <w:trPr>
          <w:trHeight w:val="230"/>
        </w:trPr>
        <w:tc>
          <w:tcPr>
            <w:tcW w:w="2740" w:type="dxa"/>
            <w:vAlign w:val="bottom"/>
            <w:gridSpan w:val="5"/>
          </w:tcPr>
          <w:p>
            <w:pPr>
              <w:spacing w:after="0"/>
              <w:rPr>
                <w:sz w:val="20"/>
                <w:szCs w:val="20"/>
                <w:color w:val="auto"/>
              </w:rPr>
            </w:pPr>
            <w:r>
              <w:rPr>
                <w:rFonts w:ascii="Arial" w:cs="Arial" w:eastAsia="Arial" w:hAnsi="Arial"/>
                <w:sz w:val="18"/>
                <w:szCs w:val="18"/>
                <w:color w:val="auto"/>
              </w:rPr>
              <w:t>Prices indicated below.</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65"/>
        </w:trPr>
        <w:tc>
          <w:tcPr>
            <w:tcW w:w="60" w:type="dxa"/>
            <w:vAlign w:val="bottom"/>
          </w:tcPr>
          <w:p>
            <w:pPr>
              <w:spacing w:after="0"/>
              <w:rPr>
                <w:sz w:val="24"/>
                <w:szCs w:val="24"/>
                <w:color w:val="auto"/>
              </w:rPr>
            </w:pPr>
          </w:p>
        </w:tc>
        <w:tc>
          <w:tcPr>
            <w:tcW w:w="2680" w:type="dxa"/>
            <w:vAlign w:val="bottom"/>
            <w:gridSpan w:val="4"/>
          </w:tcPr>
          <w:p>
            <w:pPr>
              <w:ind w:left="600"/>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2"/>
          </w:tcPr>
          <w:p>
            <w:pPr>
              <w:ind w:left="580"/>
              <w:spacing w:after="0"/>
              <w:rPr>
                <w:sz w:val="20"/>
                <w:szCs w:val="20"/>
                <w:color w:val="auto"/>
              </w:rPr>
            </w:pPr>
            <w:r>
              <w:rPr>
                <w:rFonts w:ascii="Arial" w:cs="Arial" w:eastAsia="Arial" w:hAnsi="Arial"/>
                <w:sz w:val="14"/>
                <w:szCs w:val="14"/>
                <w:b w:val="1"/>
                <w:bCs w:val="1"/>
                <w:color w:val="auto"/>
              </w:rPr>
              <w:t>Redemption Price</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2"/>
          </w:tcPr>
          <w:p>
            <w:pPr>
              <w:ind w:left="580"/>
              <w:spacing w:after="0"/>
              <w:rPr>
                <w:sz w:val="20"/>
                <w:szCs w:val="20"/>
                <w:color w:val="auto"/>
              </w:rPr>
            </w:pPr>
            <w:r>
              <w:rPr>
                <w:rFonts w:ascii="Arial" w:cs="Arial" w:eastAsia="Arial" w:hAnsi="Arial"/>
                <w:sz w:val="14"/>
                <w:szCs w:val="14"/>
                <w:b w:val="1"/>
                <w:bCs w:val="1"/>
                <w:color w:val="auto"/>
              </w:rPr>
              <w:t>Redemption Price</w:t>
            </w:r>
          </w:p>
        </w:tc>
      </w:tr>
      <w:tr>
        <w:trPr>
          <w:trHeight w:val="142"/>
        </w:trPr>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auto"/>
            </w:tcBorders>
            <w:shd w:val="clear" w:color="auto" w:fill="CCEEFF"/>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840" w:type="dxa"/>
            <w:vAlign w:val="bottom"/>
          </w:tcPr>
          <w:p>
            <w:pPr>
              <w:spacing w:after="0"/>
              <w:rPr>
                <w:sz w:val="12"/>
                <w:szCs w:val="12"/>
                <w:color w:val="auto"/>
              </w:rPr>
            </w:pPr>
          </w:p>
        </w:tc>
      </w:tr>
    </w:tbl>
    <w:p>
      <w:pPr>
        <w:spacing w:after="0" w:line="20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and thereafter at a Redemption Price equal to % of the principal amount, together in the case of any such redemption [</w:t>
      </w:r>
      <w:r>
        <w:rPr>
          <w:rFonts w:ascii="Arial" w:cs="Arial" w:eastAsia="Arial" w:hAnsi="Arial"/>
          <w:sz w:val="17"/>
          <w:szCs w:val="17"/>
          <w:u w:val="single" w:color="auto"/>
          <w:color w:val="auto"/>
        </w:rPr>
        <w:t>If applicable, insert</w:t>
      </w:r>
      <w:r>
        <w:rPr>
          <w:rFonts w:ascii="Arial" w:cs="Arial" w:eastAsia="Arial" w:hAnsi="Arial"/>
          <w:sz w:val="17"/>
          <w:szCs w:val="17"/>
          <w:color w:val="auto"/>
        </w:rPr>
        <w:t xml:space="preserve"> — (whether through operation of the sinking fund or otherwise)] with accrued interest to the Redemption Date;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ind w:left="440"/>
              <w:spacing w:after="0"/>
              <w:rPr>
                <w:sz w:val="20"/>
                <w:szCs w:val="20"/>
                <w:color w:val="auto"/>
              </w:rPr>
            </w:pPr>
            <w:r>
              <w:rPr>
                <w:rFonts w:ascii="Arial" w:cs="Arial" w:eastAsia="Arial" w:hAnsi="Arial"/>
                <w:sz w:val="18"/>
                <w:szCs w:val="18"/>
                <w:color w:val="auto"/>
              </w:rPr>
              <w:t>[If applicable, insert — The Securities are subject to redemption (1) on</w:t>
            </w:r>
          </w:p>
        </w:tc>
        <w:tc>
          <w:tcPr>
            <w:tcW w:w="3740" w:type="dxa"/>
            <w:vAlign w:val="bottom"/>
            <w:gridSpan w:val="2"/>
          </w:tcPr>
          <w:p>
            <w:pPr>
              <w:ind w:left="480"/>
              <w:spacing w:after="0"/>
              <w:rPr>
                <w:sz w:val="20"/>
                <w:szCs w:val="20"/>
                <w:color w:val="auto"/>
              </w:rPr>
            </w:pPr>
            <w:r>
              <w:rPr>
                <w:rFonts w:ascii="Arial" w:cs="Arial" w:eastAsia="Arial" w:hAnsi="Arial"/>
                <w:sz w:val="18"/>
                <w:szCs w:val="18"/>
                <w:color w:val="auto"/>
              </w:rPr>
              <w:t>in any year commencing with the year</w:t>
            </w:r>
          </w:p>
        </w:tc>
        <w:tc>
          <w:tcPr>
            <w:tcW w:w="1560" w:type="dxa"/>
            <w:vAlign w:val="bottom"/>
          </w:tcPr>
          <w:p>
            <w:pPr>
              <w:ind w:left="500"/>
              <w:spacing w:after="0"/>
              <w:rPr>
                <w:sz w:val="20"/>
                <w:szCs w:val="20"/>
                <w:color w:val="auto"/>
              </w:rPr>
            </w:pPr>
            <w:r>
              <w:rPr>
                <w:rFonts w:ascii="Arial" w:cs="Arial" w:eastAsia="Arial" w:hAnsi="Arial"/>
                <w:sz w:val="18"/>
                <w:szCs w:val="18"/>
                <w:color w:val="auto"/>
              </w:rPr>
              <w:t>and ending</w:t>
            </w:r>
          </w:p>
        </w:tc>
      </w:tr>
      <w:tr>
        <w:trPr>
          <w:trHeight w:val="20"/>
        </w:trPr>
        <w:tc>
          <w:tcPr>
            <w:tcW w:w="5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460" w:type="dxa"/>
            <w:vAlign w:val="bottom"/>
            <w:gridSpan w:val="4"/>
          </w:tcPr>
          <w:p>
            <w:pPr>
              <w:spacing w:after="0" w:line="20" w:lineRule="exact"/>
              <w:rPr>
                <w:sz w:val="1"/>
                <w:szCs w:val="1"/>
                <w:color w:val="auto"/>
              </w:rPr>
            </w:pPr>
          </w:p>
        </w:tc>
      </w:tr>
      <w:tr>
        <w:trPr>
          <w:trHeight w:val="222"/>
        </w:trPr>
        <w:tc>
          <w:tcPr>
            <w:tcW w:w="1900" w:type="dxa"/>
            <w:vAlign w:val="bottom"/>
            <w:gridSpan w:val="2"/>
          </w:tcPr>
          <w:p>
            <w:pPr>
              <w:spacing w:after="0"/>
              <w:rPr>
                <w:sz w:val="20"/>
                <w:szCs w:val="20"/>
                <w:color w:val="auto"/>
              </w:rPr>
            </w:pPr>
            <w:r>
              <w:rPr>
                <w:rFonts w:ascii="Arial" w:cs="Arial" w:eastAsia="Arial" w:hAnsi="Arial"/>
                <w:sz w:val="18"/>
                <w:szCs w:val="18"/>
                <w:color w:val="auto"/>
              </w:rPr>
              <w:t>with the year</w:t>
            </w:r>
          </w:p>
        </w:tc>
        <w:tc>
          <w:tcPr>
            <w:tcW w:w="9460" w:type="dxa"/>
            <w:vAlign w:val="bottom"/>
            <w:gridSpan w:val="4"/>
          </w:tcPr>
          <w:p>
            <w:pPr>
              <w:ind w:left="40"/>
              <w:spacing w:after="0"/>
              <w:rPr>
                <w:sz w:val="20"/>
                <w:szCs w:val="20"/>
                <w:color w:val="auto"/>
              </w:rPr>
            </w:pPr>
            <w:r>
              <w:rPr>
                <w:rFonts w:ascii="Arial" w:cs="Arial" w:eastAsia="Arial" w:hAnsi="Arial"/>
                <w:sz w:val="18"/>
                <w:szCs w:val="18"/>
                <w:color w:val="auto"/>
                <w:w w:val="91"/>
              </w:rPr>
              <w:t>through operation of the sinking fund for this series at the Redemption Prices for redemption through operation of the sinking fund</w:t>
            </w:r>
          </w:p>
        </w:tc>
      </w:tr>
      <w:tr>
        <w:trPr>
          <w:trHeight w:val="230"/>
        </w:trPr>
        <w:tc>
          <w:tcPr>
            <w:tcW w:w="8400" w:type="dxa"/>
            <w:vAlign w:val="bottom"/>
            <w:gridSpan w:val="4"/>
          </w:tcPr>
          <w:p>
            <w:pPr>
              <w:spacing w:after="0"/>
              <w:rPr>
                <w:sz w:val="20"/>
                <w:szCs w:val="20"/>
                <w:color w:val="auto"/>
              </w:rPr>
            </w:pPr>
            <w:r>
              <w:rPr>
                <w:rFonts w:ascii="Arial" w:cs="Arial" w:eastAsia="Arial" w:hAnsi="Arial"/>
                <w:sz w:val="18"/>
                <w:szCs w:val="18"/>
                <w:color w:val="auto"/>
                <w:w w:val="95"/>
              </w:rPr>
              <w:t>(expressed as percentages of the principal amount) set forth in the table below, and (2) at any time [on or after</w:t>
            </w:r>
          </w:p>
        </w:tc>
        <w:tc>
          <w:tcPr>
            <w:tcW w:w="2960" w:type="dxa"/>
            <w:vAlign w:val="bottom"/>
            <w:gridSpan w:val="2"/>
          </w:tcPr>
          <w:p>
            <w:pPr>
              <w:ind w:left="460"/>
              <w:spacing w:after="0"/>
              <w:rPr>
                <w:sz w:val="20"/>
                <w:szCs w:val="20"/>
                <w:color w:val="auto"/>
              </w:rPr>
            </w:pPr>
            <w:r>
              <w:rPr>
                <w:rFonts w:ascii="Arial" w:cs="Arial" w:eastAsia="Arial" w:hAnsi="Arial"/>
                <w:sz w:val="18"/>
                <w:szCs w:val="18"/>
                <w:color w:val="auto"/>
              </w:rPr>
              <w:t>], as a whole or in part, at the</w:t>
            </w:r>
          </w:p>
        </w:tc>
      </w:tr>
    </w:tbl>
    <w:p>
      <w:pPr>
        <w:spacing w:after="0"/>
        <w:rPr>
          <w:sz w:val="20"/>
          <w:szCs w:val="20"/>
          <w:color w:val="auto"/>
        </w:rPr>
      </w:pPr>
      <w:r>
        <w:rPr>
          <w:rFonts w:ascii="Arial" w:cs="Arial" w:eastAsia="Arial" w:hAnsi="Arial"/>
          <w:sz w:val="16"/>
          <w:szCs w:val="16"/>
          <w:color w:val="auto"/>
        </w:rPr>
        <w:t>election of the Company, at the Redemption Prices for redemption otherwise than through operation of the sinking fund (expressed as percentages of the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6"/>
          </w:tcPr>
          <w:p>
            <w:pPr>
              <w:spacing w:after="0"/>
              <w:rPr>
                <w:sz w:val="20"/>
                <w:szCs w:val="20"/>
                <w:color w:val="auto"/>
              </w:rPr>
            </w:pPr>
            <w:r>
              <w:rPr>
                <w:rFonts w:ascii="Arial" w:cs="Arial" w:eastAsia="Arial" w:hAnsi="Arial"/>
                <w:sz w:val="18"/>
                <w:szCs w:val="18"/>
                <w:color w:val="auto"/>
                <w:w w:val="96"/>
              </w:rPr>
              <w:t>principal amount) set forth in the table below: If redeemed during the 12-month period beginning</w:t>
            </w:r>
          </w:p>
        </w:tc>
        <w:tc>
          <w:tcPr>
            <w:tcW w:w="3080" w:type="dxa"/>
            <w:vAlign w:val="bottom"/>
          </w:tcPr>
          <w:p>
            <w:pPr>
              <w:ind w:left="620"/>
              <w:spacing w:after="0"/>
              <w:rPr>
                <w:sz w:val="20"/>
                <w:szCs w:val="20"/>
                <w:color w:val="auto"/>
              </w:rPr>
            </w:pPr>
            <w:r>
              <w:rPr>
                <w:rFonts w:ascii="Arial" w:cs="Arial" w:eastAsia="Arial" w:hAnsi="Arial"/>
                <w:sz w:val="18"/>
                <w:szCs w:val="18"/>
                <w:color w:val="auto"/>
              </w:rPr>
              <w:t>of the years indicated,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8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94"/>
              </w:rPr>
              <w:t>Redemption Price for</w:t>
            </w:r>
          </w:p>
        </w:tc>
        <w:tc>
          <w:tcPr>
            <w:tcW w:w="3080" w:type="dxa"/>
            <w:vAlign w:val="bottom"/>
          </w:tcPr>
          <w:p>
            <w:pPr>
              <w:jc w:val="center"/>
              <w:ind w:right="484"/>
              <w:spacing w:after="0"/>
              <w:rPr>
                <w:sz w:val="20"/>
                <w:szCs w:val="20"/>
                <w:color w:val="auto"/>
              </w:rPr>
            </w:pPr>
            <w:r>
              <w:rPr>
                <w:rFonts w:ascii="Arial" w:cs="Arial" w:eastAsia="Arial" w:hAnsi="Arial"/>
                <w:sz w:val="14"/>
                <w:szCs w:val="14"/>
                <w:b w:val="1"/>
                <w:bCs w:val="1"/>
                <w:color w:val="auto"/>
                <w:w w:val="93"/>
              </w:rPr>
              <w:t>Redemption Price for</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380" w:type="dxa"/>
            <w:vAlign w:val="bottom"/>
            <w:gridSpan w:val="3"/>
            <w:vMerge w:val="continue"/>
          </w:tcPr>
          <w:p>
            <w:pPr>
              <w:spacing w:after="0"/>
              <w:rPr>
                <w:sz w:val="12"/>
                <w:szCs w:val="12"/>
                <w:color w:val="auto"/>
              </w:rPr>
            </w:pPr>
          </w:p>
        </w:tc>
        <w:tc>
          <w:tcPr>
            <w:tcW w:w="3080" w:type="dxa"/>
            <w:vAlign w:val="bottom"/>
          </w:tcPr>
          <w:p>
            <w:pPr>
              <w:jc w:val="center"/>
              <w:ind w:right="464"/>
              <w:spacing w:after="0" w:line="149" w:lineRule="exact"/>
              <w:rPr>
                <w:sz w:val="20"/>
                <w:szCs w:val="20"/>
                <w:color w:val="auto"/>
              </w:rPr>
            </w:pPr>
            <w:r>
              <w:rPr>
                <w:rFonts w:ascii="Arial" w:cs="Arial" w:eastAsia="Arial" w:hAnsi="Arial"/>
                <w:sz w:val="14"/>
                <w:szCs w:val="14"/>
                <w:b w:val="1"/>
                <w:bCs w:val="1"/>
                <w:color w:val="auto"/>
                <w:w w:val="93"/>
              </w:rPr>
              <w:t>Redemption Otherwise Than</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Year</w:t>
            </w:r>
          </w:p>
        </w:tc>
        <w:tc>
          <w:tcPr>
            <w:tcW w:w="43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Redemption Through</w:t>
            </w:r>
          </w:p>
        </w:tc>
        <w:tc>
          <w:tcPr>
            <w:tcW w:w="3080" w:type="dxa"/>
            <w:vAlign w:val="bottom"/>
          </w:tcPr>
          <w:p>
            <w:pPr>
              <w:jc w:val="center"/>
              <w:ind w:right="484"/>
              <w:spacing w:after="0" w:line="149" w:lineRule="exact"/>
              <w:rPr>
                <w:sz w:val="20"/>
                <w:szCs w:val="20"/>
                <w:color w:val="auto"/>
              </w:rPr>
            </w:pPr>
            <w:r>
              <w:rPr>
                <w:rFonts w:ascii="Arial" w:cs="Arial" w:eastAsia="Arial" w:hAnsi="Arial"/>
                <w:sz w:val="14"/>
                <w:szCs w:val="14"/>
                <w:b w:val="1"/>
                <w:bCs w:val="1"/>
                <w:color w:val="auto"/>
                <w:w w:val="94"/>
              </w:rPr>
              <w:t>Through Operation of the</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gridSpan w:val="3"/>
            <w:vMerge w:val="continue"/>
          </w:tcPr>
          <w:p>
            <w:pPr>
              <w:spacing w:after="0"/>
              <w:rPr>
                <w:sz w:val="14"/>
                <w:szCs w:val="14"/>
                <w:color w:val="auto"/>
              </w:rPr>
            </w:pPr>
          </w:p>
        </w:tc>
        <w:tc>
          <w:tcPr>
            <w:tcW w:w="43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4"/>
              </w:rPr>
              <w:t>Operation of the Sinking Fund</w:t>
            </w:r>
          </w:p>
        </w:tc>
        <w:tc>
          <w:tcPr>
            <w:tcW w:w="3080" w:type="dxa"/>
            <w:vAlign w:val="bottom"/>
          </w:tcPr>
          <w:p>
            <w:pPr>
              <w:jc w:val="center"/>
              <w:ind w:right="484"/>
              <w:spacing w:after="0"/>
              <w:rPr>
                <w:sz w:val="20"/>
                <w:szCs w:val="20"/>
                <w:color w:val="auto"/>
              </w:rPr>
            </w:pPr>
            <w:r>
              <w:rPr>
                <w:rFonts w:ascii="Arial" w:cs="Arial" w:eastAsia="Arial" w:hAnsi="Arial"/>
                <w:sz w:val="14"/>
                <w:szCs w:val="14"/>
                <w:b w:val="1"/>
                <w:bCs w:val="1"/>
                <w:color w:val="auto"/>
                <w:w w:val="94"/>
              </w:rPr>
              <w:t>Sinking Fund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1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80" w:type="dxa"/>
            <w:vAlign w:val="bottom"/>
            <w:tcBorders>
              <w:top w:val="single" w:sz="8" w:color="auto"/>
            </w:tcBorders>
            <w:shd w:val="clear" w:color="auto" w:fill="CCEEFF"/>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tcPr>
          <w:p>
            <w:pPr>
              <w:jc w:val="right"/>
              <w:ind w:right="744"/>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6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and thereafter at a Redemption Price equal to % of the principal amount, together in the case of any such redemption (whether through operation of the sinking fund or otherwise) with accrued interest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71" w:lineRule="exact"/>
        <w:rPr>
          <w:sz w:val="20"/>
          <w:szCs w:val="20"/>
          <w:color w:val="auto"/>
        </w:rPr>
      </w:pPr>
    </w:p>
    <w:p>
      <w:pPr>
        <w:ind w:left="440"/>
        <w:spacing w:after="0"/>
        <w:tabs>
          <w:tab w:leader="none" w:pos="762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 applicable, insert</w:t>
      </w:r>
      <w:r>
        <w:rPr>
          <w:rFonts w:ascii="Arial" w:cs="Arial" w:eastAsia="Arial" w:hAnsi="Arial"/>
          <w:sz w:val="18"/>
          <w:szCs w:val="18"/>
          <w:color w:val="auto"/>
        </w:rPr>
        <w:t xml:space="preserve"> — Notwithstanding the foregoing, the Company may not, prior to</w:t>
      </w:r>
      <w:r>
        <w:rPr>
          <w:sz w:val="20"/>
          <w:szCs w:val="20"/>
          <w:color w:val="auto"/>
        </w:rPr>
        <w:tab/>
      </w:r>
      <w:r>
        <w:rPr>
          <w:rFonts w:ascii="Arial" w:cs="Arial" w:eastAsia="Arial" w:hAnsi="Arial"/>
          <w:sz w:val="16"/>
          <w:szCs w:val="16"/>
          <w:color w:val="auto"/>
        </w:rPr>
        <w:t>, redeem any Securities as contemplated by [Clause</w:t>
      </w:r>
    </w:p>
    <w:p>
      <w:pPr>
        <w:spacing w:after="0" w:line="23" w:lineRule="exact"/>
        <w:rPr>
          <w:sz w:val="20"/>
          <w:szCs w:val="20"/>
          <w:color w:val="auto"/>
        </w:rPr>
      </w:pPr>
    </w:p>
    <w:p>
      <w:pPr>
        <w:ind w:right="560"/>
        <w:spacing w:after="0" w:line="323" w:lineRule="auto"/>
        <w:rPr>
          <w:sz w:val="20"/>
          <w:szCs w:val="20"/>
          <w:color w:val="auto"/>
        </w:rPr>
      </w:pPr>
      <w:r>
        <w:rPr>
          <w:rFonts w:ascii="Arial" w:cs="Arial" w:eastAsia="Arial" w:hAnsi="Arial"/>
          <w:sz w:val="16"/>
          <w:szCs w:val="16"/>
          <w:color w:val="auto"/>
        </w:rPr>
        <w:t>(2)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ectPr>
          <w:pgSz w:w="11900" w:h="16920" w:orient="portrait"/>
          <w:cols w:equalWidth="0" w:num="1">
            <w:col w:w="11460"/>
          </w:cols>
          <w:pgMar w:left="240" w:top="341" w:right="199" w:bottom="0" w:gutter="0" w:footer="0" w:header="0"/>
        </w:sectPr>
      </w:pPr>
    </w:p>
    <w:bookmarkStart w:id="145" w:name="page146"/>
    <w:bookmarkEnd w:id="145"/>
    <w:p>
      <w:pPr>
        <w:spacing w:after="0" w:line="90"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7000" w:type="dxa"/>
            <w:vAlign w:val="bottom"/>
            <w:gridSpan w:val="5"/>
          </w:tcPr>
          <w:p>
            <w:pPr>
              <w:spacing w:after="0"/>
              <w:rPr>
                <w:sz w:val="20"/>
                <w:szCs w:val="20"/>
                <w:color w:val="auto"/>
              </w:rPr>
            </w:pPr>
            <w:r>
              <w:rPr>
                <w:rFonts w:ascii="Arial" w:cs="Arial" w:eastAsia="Arial" w:hAnsi="Arial"/>
                <w:sz w:val="18"/>
                <w:szCs w:val="18"/>
                <w:color w:val="auto"/>
                <w:w w:val="99"/>
              </w:rPr>
              <w:t>[If applicable, insert — The sinking fund for the Securities provides for the redemption on</w:t>
            </w:r>
          </w:p>
        </w:tc>
        <w:tc>
          <w:tcPr>
            <w:tcW w:w="3540" w:type="dxa"/>
            <w:vAlign w:val="bottom"/>
            <w:gridSpan w:val="2"/>
          </w:tcPr>
          <w:p>
            <w:pPr>
              <w:ind w:left="500"/>
              <w:spacing w:after="0"/>
              <w:rPr>
                <w:sz w:val="20"/>
                <w:szCs w:val="20"/>
                <w:color w:val="auto"/>
              </w:rPr>
            </w:pPr>
            <w:r>
              <w:rPr>
                <w:rFonts w:ascii="Arial" w:cs="Arial" w:eastAsia="Arial" w:hAnsi="Arial"/>
                <w:sz w:val="18"/>
                <w:szCs w:val="18"/>
                <w:color w:val="auto"/>
              </w:rPr>
              <w:t>in each year, beginning with the year</w:t>
            </w:r>
          </w:p>
        </w:tc>
      </w:tr>
      <w:tr>
        <w:trPr>
          <w:trHeight w:val="20"/>
        </w:trPr>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2700" w:type="dxa"/>
            <w:vAlign w:val="bottom"/>
            <w:gridSpan w:val="2"/>
          </w:tcPr>
          <w:p>
            <w:pPr>
              <w:ind w:left="460"/>
              <w:spacing w:after="0"/>
              <w:rPr>
                <w:sz w:val="20"/>
                <w:szCs w:val="20"/>
                <w:color w:val="auto"/>
              </w:rPr>
            </w:pPr>
            <w:r>
              <w:rPr>
                <w:rFonts w:ascii="Arial" w:cs="Arial" w:eastAsia="Arial" w:hAnsi="Arial"/>
                <w:sz w:val="18"/>
                <w:szCs w:val="18"/>
                <w:color w:val="auto"/>
              </w:rPr>
              <w:t>and ending with the year</w:t>
            </w:r>
          </w:p>
        </w:tc>
        <w:tc>
          <w:tcPr>
            <w:tcW w:w="2100" w:type="dxa"/>
            <w:vAlign w:val="bottom"/>
          </w:tcPr>
          <w:p>
            <w:pPr>
              <w:ind w:left="480"/>
              <w:spacing w:after="0"/>
              <w:rPr>
                <w:sz w:val="20"/>
                <w:szCs w:val="20"/>
                <w:color w:val="auto"/>
              </w:rPr>
            </w:pPr>
            <w:r>
              <w:rPr>
                <w:rFonts w:ascii="Arial" w:cs="Arial" w:eastAsia="Arial" w:hAnsi="Arial"/>
                <w:sz w:val="18"/>
                <w:szCs w:val="18"/>
                <w:color w:val="auto"/>
              </w:rPr>
              <w:t>, of [not less than] $</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w w:val="97"/>
              </w:rPr>
              <w:t>] [(“mandatory sinking fund”) and not more than $</w:t>
            </w:r>
          </w:p>
        </w:tc>
        <w:tc>
          <w:tcPr>
            <w:tcW w:w="1680" w:type="dxa"/>
            <w:vAlign w:val="bottom"/>
          </w:tcPr>
          <w:p>
            <w:pPr>
              <w:ind w:left="180"/>
              <w:spacing w:after="0"/>
              <w:rPr>
                <w:sz w:val="20"/>
                <w:szCs w:val="20"/>
                <w:color w:val="auto"/>
              </w:rPr>
            </w:pPr>
            <w:r>
              <w:rPr>
                <w:rFonts w:ascii="Arial" w:cs="Arial" w:eastAsia="Arial" w:hAnsi="Arial"/>
                <w:sz w:val="18"/>
                <w:szCs w:val="18"/>
                <w:color w:val="auto"/>
                <w:w w:val="90"/>
              </w:rPr>
              <w:t>] aggregate principal</w:t>
            </w:r>
          </w:p>
        </w:tc>
      </w:tr>
    </w:tbl>
    <w:p>
      <w:pPr>
        <w:ind w:right="120"/>
        <w:spacing w:after="0" w:line="323" w:lineRule="auto"/>
        <w:rPr>
          <w:sz w:val="20"/>
          <w:szCs w:val="20"/>
          <w:color w:val="auto"/>
        </w:rPr>
      </w:pPr>
      <w:r>
        <w:rPr>
          <w:rFonts w:ascii="Arial" w:cs="Arial" w:eastAsia="Arial" w:hAnsi="Arial"/>
          <w:sz w:val="16"/>
          <w:szCs w:val="16"/>
          <w:color w:val="auto"/>
        </w:rPr>
        <w:t>amount of the Securities. [The Securities acquired or redeemed by the Company otherwise than through [mandatory] sinking fund payments may be credited against subsequent [mandatory] sinking fund payments otherwise required to be made in the [</w:t>
      </w:r>
      <w:r>
        <w:rPr>
          <w:rFonts w:ascii="Arial" w:cs="Arial" w:eastAsia="Arial" w:hAnsi="Arial"/>
          <w:sz w:val="16"/>
          <w:szCs w:val="16"/>
          <w:u w:val="single" w:color="auto"/>
          <w:color w:val="auto"/>
        </w:rPr>
        <w:t>describe order</w:t>
      </w:r>
      <w:r>
        <w:rPr>
          <w:rFonts w:ascii="Arial" w:cs="Arial" w:eastAsia="Arial" w:hAnsi="Arial"/>
          <w:sz w:val="16"/>
          <w:szCs w:val="16"/>
          <w:color w:val="auto"/>
        </w:rPr>
        <w:t>] order in which they become due.]]</w:t>
      </w:r>
    </w:p>
    <w:p>
      <w:pPr>
        <w:spacing w:after="0" w:line="139"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Notice of redemption will be given by mail to Holders of Securities, not less than 30 nor more than 60 days prior to the Redemption Date, all as provided in the Indenture.</w:t>
      </w:r>
    </w:p>
    <w:p>
      <w:pPr>
        <w:spacing w:after="0" w:line="17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ind w:right="140" w:firstLine="441"/>
        <w:spacing w:after="0" w:line="270"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78"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8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93"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Security is subordinated to the prior payment in full in cash of Senior Indebtedness to the extent set forth in Article Sixteen of the Indenture.</w:t>
      </w:r>
    </w:p>
    <w:p>
      <w:pPr>
        <w:spacing w:after="0" w:line="237" w:lineRule="exact"/>
        <w:rPr>
          <w:sz w:val="20"/>
          <w:szCs w:val="20"/>
          <w:color w:val="auto"/>
        </w:rPr>
      </w:pPr>
    </w:p>
    <w:p>
      <w:pPr>
        <w:ind w:left="440"/>
        <w:spacing w:after="0"/>
        <w:tabs>
          <w:tab w:leader="none" w:pos="8400" w:val="left"/>
        </w:tabs>
        <w:rPr>
          <w:sz w:val="20"/>
          <w:szCs w:val="20"/>
          <w:color w:val="auto"/>
        </w:rPr>
      </w:pPr>
      <w:r>
        <w:rPr>
          <w:rFonts w:ascii="Arial" w:cs="Arial" w:eastAsia="Arial" w:hAnsi="Arial"/>
          <w:sz w:val="18"/>
          <w:szCs w:val="18"/>
          <w:color w:val="auto"/>
        </w:rPr>
        <w:t>The Securities of this series are issuable only in registered form [without coupons] in denominations of $</w:t>
      </w:r>
      <w:r>
        <w:rPr>
          <w:sz w:val="20"/>
          <w:szCs w:val="20"/>
          <w:color w:val="auto"/>
        </w:rPr>
        <w:tab/>
      </w:r>
      <w:r>
        <w:rPr>
          <w:rFonts w:ascii="Arial" w:cs="Arial" w:eastAsia="Arial" w:hAnsi="Arial"/>
          <w:sz w:val="16"/>
          <w:szCs w:val="16"/>
          <w:color w:val="auto"/>
        </w:rPr>
        <w:t>and any integral multiple thereof.</w:t>
      </w:r>
    </w:p>
    <w:p>
      <w:pPr>
        <w:spacing w:after="0" w:line="225"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73"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FORMS OF CERTIFICATION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w:t>
      </w:r>
    </w:p>
    <w:p>
      <w:pPr>
        <w:spacing w:after="0" w:line="225" w:lineRule="exact"/>
        <w:rPr>
          <w:sz w:val="20"/>
          <w:szCs w:val="20"/>
          <w:color w:val="auto"/>
        </w:rPr>
      </w:pPr>
    </w:p>
    <w:p>
      <w:pPr>
        <w:jc w:val="center"/>
        <w:ind w:left="260"/>
        <w:spacing w:after="0" w:line="277" w:lineRule="auto"/>
        <w:rPr>
          <w:sz w:val="20"/>
          <w:szCs w:val="20"/>
          <w:color w:val="auto"/>
        </w:rPr>
      </w:pPr>
      <w:r>
        <w:rPr>
          <w:rFonts w:ascii="Arial" w:cs="Arial" w:eastAsia="Arial" w:hAnsi="Arial"/>
          <w:sz w:val="18"/>
          <w:szCs w:val="18"/>
          <w:color w:val="auto"/>
        </w:rPr>
        <w:t>FORM OF CERTIFICATE TO BE GIVEN BY PERSON ENTITLED TO RECEIVE BEARER SECURITY OR TO OBTAIN INTEREST PAYABLE PRIOR TO THE EXCHANGE DATE</w:t>
      </w:r>
    </w:p>
    <w:p>
      <w:pPr>
        <w:sectPr>
          <w:pgSz w:w="11900" w:h="16929" w:orient="portrait"/>
          <w:cols w:equalWidth="0" w:num="1">
            <w:col w:w="11420"/>
          </w:cols>
          <w:pgMar w:left="240" w:top="324" w:right="239" w:bottom="0" w:gutter="0" w:footer="0" w:header="0"/>
        </w:sectPr>
      </w:pPr>
    </w:p>
    <w:bookmarkStart w:id="146" w:name="page147"/>
    <w:bookmarkEnd w:id="146"/>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180" w:firstLine="441"/>
        <w:spacing w:after="0" w:line="288" w:lineRule="auto"/>
        <w:rPr>
          <w:sz w:val="20"/>
          <w:szCs w:val="20"/>
          <w:color w:val="auto"/>
        </w:rPr>
      </w:pPr>
      <w:r>
        <w:rPr>
          <w:rFonts w:ascii="Arial" w:cs="Arial" w:eastAsia="Arial" w:hAnsi="Arial"/>
          <w:sz w:val="16"/>
          <w:szCs w:val="16"/>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ind w:left="260" w:hanging="252"/>
        <w:spacing w:after="0"/>
        <w:tabs>
          <w:tab w:leader="none" w:pos="2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foreign branches of United States financial institutions (financial institutions, as defined in United States Treasury Regulations Section 2.165-12(c)(1)</w:t>
      </w:r>
    </w:p>
    <w:p>
      <w:pPr>
        <w:spacing w:after="0" w:line="20" w:lineRule="exact"/>
        <w:rPr>
          <w:rFonts w:ascii="Arial" w:cs="Arial" w:eastAsia="Arial" w:hAnsi="Arial"/>
          <w:sz w:val="17"/>
          <w:szCs w:val="17"/>
          <w:color w:val="auto"/>
        </w:rPr>
      </w:pPr>
    </w:p>
    <w:p>
      <w:pPr>
        <w:ind w:right="40" w:firstLine="8"/>
        <w:spacing w:after="0" w:line="251" w:lineRule="auto"/>
        <w:tabs>
          <w:tab w:leader="none" w:pos="25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Esperion Therapeutics,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8"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70" w:lineRule="exact"/>
        <w:rPr>
          <w:sz w:val="20"/>
          <w:szCs w:val="20"/>
          <w:color w:val="auto"/>
        </w:rPr>
      </w:pPr>
    </w:p>
    <w:p>
      <w:pPr>
        <w:jc w:val="both"/>
        <w:ind w:right="140" w:firstLine="441"/>
        <w:spacing w:after="0" w:line="286" w:lineRule="auto"/>
        <w:rPr>
          <w:sz w:val="20"/>
          <w:szCs w:val="20"/>
          <w:color w:val="auto"/>
        </w:rPr>
      </w:pPr>
      <w:r>
        <w:rPr>
          <w:rFonts w:ascii="Arial" w:cs="Arial" w:eastAsia="Arial" w:hAnsi="Arial"/>
          <w:sz w:val="17"/>
          <w:szCs w:val="17"/>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66"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[To be dated no earlier than the 15th day prior to (i) the Exchange Date or (ii) the relevant Interest Payment Date occurring prior to the Exchange Date, as applicable]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Person Making Certification]</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B-2</w:t>
      </w:r>
    </w:p>
    <w:p>
      <w:pPr>
        <w:spacing w:after="0" w:line="225" w:lineRule="exact"/>
        <w:rPr>
          <w:sz w:val="20"/>
          <w:szCs w:val="20"/>
          <w:color w:val="auto"/>
        </w:rPr>
      </w:pPr>
    </w:p>
    <w:p>
      <w:pPr>
        <w:jc w:val="center"/>
        <w:ind w:left="260" w:right="20"/>
        <w:spacing w:after="0" w:line="277" w:lineRule="auto"/>
        <w:rPr>
          <w:sz w:val="20"/>
          <w:szCs w:val="20"/>
          <w:color w:val="auto"/>
        </w:rPr>
      </w:pPr>
      <w:r>
        <w:rPr>
          <w:rFonts w:ascii="Arial" w:cs="Arial" w:eastAsia="Arial" w:hAnsi="Arial"/>
          <w:sz w:val="18"/>
          <w:szCs w:val="18"/>
          <w:color w:val="auto"/>
        </w:rPr>
        <w:t>FORM OF CERTIFICATE TO BE GIVEN BY EUROCLEAR AND CLEARSTREAM S.A. IN CONNECTION WITH THE EXCHANGE OF A PORTION OF A TEMPORARY GLOBAL SECURITY OR TO OBTAIN INTEREST PAYABLE PRIOR TO THE EXCHANGE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title or sufficient description of Securities to be delivered]</w:t>
      </w:r>
    </w:p>
    <w:p>
      <w:pPr>
        <w:spacing w:after="0" w:line="225" w:lineRule="exact"/>
        <w:rPr>
          <w:sz w:val="20"/>
          <w:szCs w:val="20"/>
          <w:color w:val="auto"/>
        </w:rPr>
      </w:pPr>
    </w:p>
    <w:p>
      <w:pPr>
        <w:ind w:right="20" w:firstLine="441"/>
        <w:spacing w:after="0" w:line="283" w:lineRule="auto"/>
        <w:rPr>
          <w:sz w:val="20"/>
          <w:szCs w:val="20"/>
          <w:color w:val="auto"/>
        </w:rPr>
      </w:pPr>
      <w:r>
        <w:rPr>
          <w:rFonts w:ascii="Arial" w:cs="Arial" w:eastAsia="Arial" w:hAnsi="Arial"/>
          <w:sz w:val="16"/>
          <w:szCs w:val="16"/>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Esperion Therapeutics, Inc. or its agent that such financial institution will comply with the requirements of Section 165(j)(3)(A), (B) or (C) of the Internal Revenue Code of 1986, as amended, and the regulations thereunder), or</w:t>
      </w:r>
    </w:p>
    <w:p>
      <w:pPr>
        <w:spacing w:after="0" w:line="6" w:lineRule="exact"/>
        <w:rPr>
          <w:sz w:val="20"/>
          <w:szCs w:val="20"/>
          <w:color w:val="auto"/>
        </w:rPr>
      </w:pPr>
    </w:p>
    <w:p>
      <w:pPr>
        <w:ind w:firstLine="8"/>
        <w:spacing w:after="0" w:line="254" w:lineRule="auto"/>
        <w:tabs>
          <w:tab w:leader="none" w:pos="31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9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ectPr>
          <w:pgSz w:w="11900" w:h="16875" w:orient="portrait"/>
          <w:cols w:equalWidth="0" w:num="1">
            <w:col w:w="11420"/>
          </w:cols>
          <w:pgMar w:left="240" w:top="341" w:right="239" w:bottom="0" w:gutter="0" w:footer="0" w:header="0"/>
        </w:sectPr>
      </w:pPr>
    </w:p>
    <w:bookmarkStart w:id="147" w:name="page148"/>
    <w:bookmarkEnd w:id="147"/>
    <w:p>
      <w:pPr>
        <w:ind w:firstLine="441"/>
        <w:spacing w:after="0" w:line="25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be dated no earlier than the Exchange Date or the relevant Interest Payment Date occurring prior to the Exchange Date, as applicable]</w:t>
      </w:r>
    </w:p>
    <w:p>
      <w:pPr>
        <w:spacing w:after="0" w:line="237" w:lineRule="exact"/>
        <w:rPr>
          <w:sz w:val="20"/>
          <w:szCs w:val="20"/>
          <w:color w:val="auto"/>
        </w:rPr>
      </w:pPr>
    </w:p>
    <w:p>
      <w:pPr>
        <w:ind w:left="440"/>
        <w:spacing w:after="0"/>
        <w:tabs>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Operator of the Euroclear System] [Clearstream Banking Luxembourg]</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December 22,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Esperion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3891 Ranchero Drive, Suite 150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Arbor, Michigan 48108</w:t>
      </w:r>
    </w:p>
    <w:p>
      <w:pPr>
        <w:spacing w:after="0" w:line="211"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441"/>
        <w:spacing w:after="0" w:line="288"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S-3 (as amended or supplemented, the “Registration Statement”) pursuant to the Securities Act of 1933, as amended (the “Securities Act”), relating to the registration of up to $250,000,000 of any combination of (i) common stock, par value $0.001 per share (the “Common Stock”), of Esperion Therapeutics, Inc., a Delaware corporation (the “Company”), (ii) preferred stock, par value $0.001 per share, of the Company (the “Preferred Stock”), (iii) debt securities of the Company (“Debt Securities”), (iv) warrants to purchase Common Stock, Preferred Stock, Debt Securities or Units (as defined below ) (“Warrants”) or (v) units comprised of Common Stock, Preferred Stock, Debt Securities, Warrants and other securities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69"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1" w:lineRule="exact"/>
        <w:rPr>
          <w:sz w:val="20"/>
          <w:szCs w:val="20"/>
          <w:color w:val="auto"/>
        </w:rPr>
      </w:pPr>
    </w:p>
    <w:p>
      <w:pPr>
        <w:ind w:right="420" w:firstLine="441"/>
        <w:spacing w:after="0" w:line="286" w:lineRule="auto"/>
        <w:rPr>
          <w:sz w:val="20"/>
          <w:szCs w:val="20"/>
          <w:color w:val="auto"/>
        </w:rPr>
      </w:pPr>
      <w:r>
        <w:rPr>
          <w:rFonts w:ascii="Arial" w:cs="Arial" w:eastAsia="Arial" w:hAnsi="Arial"/>
          <w:sz w:val="17"/>
          <w:szCs w:val="17"/>
          <w:color w:val="auto"/>
        </w:rPr>
        <w:t>The opinions set forth below are limited to the Delaware General Corporation Law (which includes reported judicial decisions interpreting the Delaware General Corporation Law), the law of New York, and the federal law of the United States. Without limiting the generality of the foregoing, we express no opinion with respect to (i) state securities or “blue sky” laws, or (ii) state or federal antitrust laws.</w:t>
      </w:r>
    </w:p>
    <w:p>
      <w:pPr>
        <w:spacing w:after="0" w:line="166"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For purposes of the opinions set forth below, without limiting any other exceptions or qualifications set forth herein, we have assumed that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under the Company’s certificate of incorporation, as then in effect (the “Charter”).</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opinions set forth below, we refer to the following as the “Future Authorization and Issuance” of Securities:</w:t>
      </w:r>
    </w:p>
    <w:p>
      <w:pPr>
        <w:spacing w:after="0" w:line="225" w:lineRule="exact"/>
        <w:rPr>
          <w:sz w:val="20"/>
          <w:szCs w:val="20"/>
          <w:color w:val="auto"/>
        </w:rPr>
      </w:pPr>
    </w:p>
    <w:p>
      <w:pPr>
        <w:ind w:left="780" w:right="60" w:hanging="331"/>
        <w:spacing w:after="0" w:line="259" w:lineRule="auto"/>
        <w:tabs>
          <w:tab w:leader="none" w:pos="7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with respect to any of the Securities, (a) the authorization by the Company of the amount, terms and issuance of such Securities (the “Authorization”) and (b) the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pacing w:after="0" w:line="186" w:lineRule="exact"/>
        <w:rPr>
          <w:rFonts w:ascii="Arial" w:cs="Arial" w:eastAsia="Arial" w:hAnsi="Arial"/>
          <w:sz w:val="18"/>
          <w:szCs w:val="18"/>
          <w:color w:val="auto"/>
        </w:rPr>
      </w:pPr>
    </w:p>
    <w:p>
      <w:pPr>
        <w:ind w:left="780" w:right="280" w:hanging="331"/>
        <w:spacing w:after="0" w:line="264" w:lineRule="auto"/>
        <w:tabs>
          <w:tab w:leader="none" w:pos="7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accordance with the Charter and applicable law;</w:t>
      </w:r>
    </w:p>
    <w:p>
      <w:pPr>
        <w:spacing w:after="0" w:line="225" w:lineRule="exact"/>
        <w:rPr>
          <w:sz w:val="20"/>
          <w:szCs w:val="20"/>
          <w:color w:val="auto"/>
        </w:rPr>
      </w:pPr>
    </w:p>
    <w:p>
      <w:pPr>
        <w:ind w:left="780" w:right="60" w:hanging="331"/>
        <w:spacing w:after="0" w:line="279" w:lineRule="auto"/>
        <w:tabs>
          <w:tab w:leader="none" w:pos="74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 and</w:t>
      </w:r>
    </w:p>
    <w:p>
      <w:pPr>
        <w:spacing w:after="0" w:line="171" w:lineRule="exact"/>
        <w:rPr>
          <w:rFonts w:ascii="Arial" w:cs="Arial" w:eastAsia="Arial" w:hAnsi="Arial"/>
          <w:sz w:val="17"/>
          <w:szCs w:val="17"/>
          <w:color w:val="auto"/>
        </w:rPr>
      </w:pPr>
    </w:p>
    <w:p>
      <w:pPr>
        <w:ind w:left="780" w:right="440" w:hanging="331"/>
        <w:spacing w:after="0" w:line="312" w:lineRule="auto"/>
        <w:tabs>
          <w:tab w:leader="none" w:pos="74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with respect to Warrants or Units, (a) the authorization, execution and delivery by the Company and the other parties thereto of any agreement under which such Securities are to be issued and (b) the establishment of the terms of such Securities, and the execution and delivery of such Securities, in conformity with any applicable agreement under which such Securities are to be issued and applicable law.</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additional qualifications set forth below, we are of the opinion that:</w:t>
      </w:r>
    </w:p>
    <w:p>
      <w:pPr>
        <w:spacing w:after="0" w:line="225" w:lineRule="exact"/>
        <w:rPr>
          <w:sz w:val="20"/>
          <w:szCs w:val="20"/>
          <w:color w:val="auto"/>
        </w:rPr>
      </w:pPr>
    </w:p>
    <w:p>
      <w:pPr>
        <w:ind w:right="600" w:firstLine="449"/>
        <w:spacing w:after="0" w:line="277" w:lineRule="auto"/>
        <w:tabs>
          <w:tab w:leader="none" w:pos="62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Upon the Future Authorization and Issuance of shares of Common Stock, such shares of Common Stock will be validly issued, fully paid and nonassessable.</w:t>
      </w:r>
    </w:p>
    <w:p>
      <w:pPr>
        <w:spacing w:after="0" w:line="170" w:lineRule="exact"/>
        <w:rPr>
          <w:rFonts w:ascii="Arial" w:cs="Arial" w:eastAsia="Arial" w:hAnsi="Arial"/>
          <w:sz w:val="18"/>
          <w:szCs w:val="18"/>
          <w:color w:val="auto"/>
        </w:rPr>
      </w:pPr>
    </w:p>
    <w:p>
      <w:pPr>
        <w:ind w:right="600" w:firstLine="449"/>
        <w:spacing w:after="0" w:line="277" w:lineRule="auto"/>
        <w:tabs>
          <w:tab w:leader="none" w:pos="62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Upon the Future Authorization and Issuance of shares of Preferred Stock, such shares of Preferred Stock will be validly issued, fully paid and nonassessable.</w:t>
      </w:r>
    </w:p>
    <w:p>
      <w:pPr>
        <w:spacing w:after="0" w:line="170" w:lineRule="exact"/>
        <w:rPr>
          <w:rFonts w:ascii="Arial" w:cs="Arial" w:eastAsia="Arial" w:hAnsi="Arial"/>
          <w:sz w:val="18"/>
          <w:szCs w:val="18"/>
          <w:color w:val="auto"/>
        </w:rPr>
      </w:pPr>
    </w:p>
    <w:p>
      <w:pPr>
        <w:ind w:left="620" w:hanging="171"/>
        <w:spacing w:after="0"/>
        <w:tabs>
          <w:tab w:leader="none" w:pos="6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Upon the Future Authorization and Issuance of Debt Securities, such Debt Securities will be valid and binding obligations of the Company.</w:t>
      </w:r>
    </w:p>
    <w:p>
      <w:pPr>
        <w:spacing w:after="0" w:line="236" w:lineRule="exact"/>
        <w:rPr>
          <w:rFonts w:ascii="Arial" w:cs="Arial" w:eastAsia="Arial" w:hAnsi="Arial"/>
          <w:sz w:val="17"/>
          <w:szCs w:val="17"/>
          <w:color w:val="auto"/>
        </w:rPr>
      </w:pPr>
    </w:p>
    <w:p>
      <w:pPr>
        <w:ind w:left="620" w:hanging="171"/>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Upon the Future Authorization and Issuance of Warrants, such Warrants will be valid and binding obligations of the Company.</w:t>
      </w:r>
    </w:p>
    <w:p>
      <w:pPr>
        <w:sectPr>
          <w:pgSz w:w="11900" w:h="16838" w:orient="portrait"/>
          <w:cols w:equalWidth="0" w:num="1">
            <w:col w:w="11420"/>
          </w:cols>
          <w:pgMar w:left="240" w:top="364" w:right="239" w:bottom="0" w:gutter="0" w:footer="0" w:header="0"/>
        </w:sectPr>
      </w:pPr>
    </w:p>
    <w:bookmarkStart w:id="149" w:name="page150"/>
    <w:bookmarkEnd w:id="149"/>
    <w:p>
      <w:pPr>
        <w:ind w:left="440"/>
        <w:spacing w:after="0"/>
        <w:rPr>
          <w:sz w:val="20"/>
          <w:szCs w:val="20"/>
          <w:color w:val="auto"/>
        </w:rPr>
      </w:pPr>
      <w:r>
        <w:rPr>
          <w:rFonts w:ascii="Arial" w:cs="Arial" w:eastAsia="Arial" w:hAnsi="Arial"/>
          <w:sz w:val="18"/>
          <w:szCs w:val="18"/>
          <w:color w:val="auto"/>
        </w:rPr>
        <w:t>5. Upon the Future Authorization and Issuance of Units, such Units will be valid and binding obligations of the Company.</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This opinion letter and the opinions it contains shall be interpreted in accordance with the Legal Opinion Principles issued by the Committee on Legal Opinions of the American Bar Association’s Business Law Section as published in 53 Business Lawyer 831 (May 1998).</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GOODWIN PROCTER LLP</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00" w:type="dxa"/>
            <w:vAlign w:val="bottom"/>
            <w:gridSpan w:val="8"/>
          </w:tcPr>
          <w:p>
            <w:pPr>
              <w:jc w:val="right"/>
              <w:ind w:right="300"/>
              <w:spacing w:after="0"/>
              <w:rPr>
                <w:sz w:val="20"/>
                <w:szCs w:val="20"/>
                <w:color w:val="auto"/>
              </w:rPr>
            </w:pPr>
            <w:r>
              <w:rPr>
                <w:rFonts w:ascii="Arial" w:cs="Arial" w:eastAsia="Arial" w:hAnsi="Arial"/>
                <w:sz w:val="18"/>
                <w:szCs w:val="18"/>
                <w:b w:val="1"/>
                <w:bCs w:val="1"/>
                <w:color w:val="auto"/>
                <w:w w:val="99"/>
              </w:rPr>
              <w:t>Computation of Ratio of Earnings to Fixed Charges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(11,742)</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(26,088)</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Fixed charges:</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expensed and capitalized</w:t>
            </w: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Estimated interest within rental expense</w:t>
            </w: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fixed charges</w:t>
            </w:r>
          </w:p>
        </w:tc>
        <w:tc>
          <w:tcPr>
            <w:tcW w:w="14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 plus fixed charges</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(10,211)</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(25,102)</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(36,062)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Ratio of earnings to fixed charges(1)</w:t>
            </w:r>
          </w:p>
        </w:tc>
        <w:tc>
          <w:tcPr>
            <w:tcW w:w="1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8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460" w:right="400" w:hanging="452"/>
        <w:spacing w:after="0" w:line="342" w:lineRule="auto"/>
        <w:tabs>
          <w:tab w:leader="none" w:pos="473" w:val="left"/>
        </w:tabs>
        <w:numPr>
          <w:ilvl w:val="0"/>
          <w:numId w:val="211"/>
        </w:numPr>
        <w:rPr>
          <w:rFonts w:ascii="Arial" w:cs="Arial" w:eastAsia="Arial" w:hAnsi="Arial"/>
          <w:sz w:val="16"/>
          <w:szCs w:val="16"/>
          <w:color w:val="auto"/>
        </w:rPr>
      </w:pPr>
      <w:r>
        <w:rPr>
          <w:rFonts w:ascii="Arial" w:cs="Arial" w:eastAsia="Arial" w:hAnsi="Arial"/>
          <w:sz w:val="16"/>
          <w:szCs w:val="16"/>
          <w:color w:val="auto"/>
        </w:rPr>
        <w:t>We did not record earnings for the periods indicated in the table above. Accordingly, our earnings were insufficient to cover fixed charges for such periods and we are unable to disclose a ratio of earnings to fixed charges or a ratio of earnings to combined fixed charges for such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consent to the reference to our firm under the caption “Experts” in this Registration Statement (Form S-3) and related Prospectus of Esperion Therapeutics, Inc. for the registration of common stock, preferred stock, debt securities, warrants and units of Esperion Therapeutics, Inc. and to the incorporation by reference therein of our report dated March 10, 2015, with respect to the financial statements of Esperion Therapeutics, Inc., included in its Annual Report (Form 10-K) for the year ended December 31, 2014, filed with the Securities and Exchange Commission.</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BFE8E0"/>
    <w:multiLevelType w:val="hybridMultilevel"/>
    <w:lvl w:ilvl="0">
      <w:lvlJc w:val="left"/>
      <w:lvlText w:val="(%1)"/>
      <w:numFmt w:val="decimal"/>
      <w:start w:val="1"/>
    </w:lvl>
  </w:abstractNum>
  <w:abstractNum w:abstractNumId="1">
    <w:nsid w:val="5092CA79"/>
    <w:multiLevelType w:val="hybridMultilevel"/>
    <w:lvl w:ilvl="0">
      <w:lvlJc w:val="left"/>
      <w:lvlText w:val="•"/>
      <w:numFmt w:val="bullet"/>
      <w:start w:val="1"/>
    </w:lvl>
  </w:abstractNum>
  <w:abstractNum w:abstractNumId="2">
    <w:nsid w:val="1D545C4D"/>
    <w:multiLevelType w:val="hybridMultilevel"/>
    <w:lvl w:ilvl="0">
      <w:lvlJc w:val="left"/>
      <w:lvlText w:val="•"/>
      <w:numFmt w:val="bullet"/>
      <w:start w:val="1"/>
    </w:lvl>
  </w:abstractNum>
  <w:abstractNum w:abstractNumId="3">
    <w:nsid w:val="59ADEA3D"/>
    <w:multiLevelType w:val="hybridMultilevel"/>
    <w:lvl w:ilvl="0">
      <w:lvlJc w:val="left"/>
      <w:lvlText w:val="•"/>
      <w:numFmt w:val="bullet"/>
      <w:start w:val="1"/>
    </w:lvl>
  </w:abstractNum>
  <w:abstractNum w:abstractNumId="4">
    <w:nsid w:val="288F1A34"/>
    <w:multiLevelType w:val="hybridMultilevel"/>
    <w:lvl w:ilvl="0">
      <w:lvlJc w:val="left"/>
      <w:lvlText w:val="•"/>
      <w:numFmt w:val="bullet"/>
      <w:start w:val="1"/>
    </w:lvl>
  </w:abstractNum>
  <w:abstractNum w:abstractNumId="5">
    <w:nsid w:val="2A155DBC"/>
    <w:multiLevelType w:val="hybridMultilevel"/>
    <w:lvl w:ilvl="0">
      <w:lvlJc w:val="left"/>
      <w:lvlText w:val="•"/>
      <w:numFmt w:val="bullet"/>
      <w:start w:val="1"/>
    </w:lvl>
  </w:abstractNum>
  <w:abstractNum w:abstractNumId="6">
    <w:nsid w:val="1D9F6E5F"/>
    <w:multiLevelType w:val="hybridMultilevel"/>
    <w:lvl w:ilvl="0">
      <w:lvlJc w:val="left"/>
      <w:lvlText w:val="•"/>
      <w:numFmt w:val="bullet"/>
      <w:start w:val="1"/>
    </w:lvl>
  </w:abstractNum>
  <w:abstractNum w:abstractNumId="7">
    <w:nsid w:val="97E1B4E"/>
    <w:multiLevelType w:val="hybridMultilevel"/>
    <w:lvl w:ilvl="0">
      <w:lvlJc w:val="left"/>
      <w:lvlText w:val="•"/>
      <w:numFmt w:val="bullet"/>
      <w:start w:val="1"/>
    </w:lvl>
  </w:abstractNum>
  <w:abstractNum w:abstractNumId="8">
    <w:nsid w:val="51088277"/>
    <w:multiLevelType w:val="hybridMultilevel"/>
    <w:lvl w:ilvl="0">
      <w:lvlJc w:val="left"/>
      <w:lvlText w:val="•"/>
      <w:numFmt w:val="bullet"/>
      <w:start w:val="1"/>
    </w:lvl>
    <w:lvl w:ilvl="1">
      <w:lvlJc w:val="left"/>
      <w:lvlText w:val="(%2)"/>
      <w:numFmt w:val="lowerRoman"/>
      <w:start w:val="2"/>
    </w:lvl>
  </w:abstractNum>
  <w:abstractNum w:abstractNumId="9">
    <w:nsid w:val="1CA0C5FA"/>
    <w:multiLevelType w:val="hybridMultilevel"/>
    <w:lvl w:ilvl="0">
      <w:lvlJc w:val="left"/>
      <w:lvlText w:val="•"/>
      <w:numFmt w:val="bullet"/>
      <w:start w:val="1"/>
    </w:lvl>
  </w:abstractNum>
  <w:abstractNum w:abstractNumId="10">
    <w:nsid w:val="53584BCB"/>
    <w:multiLevelType w:val="hybridMultilevel"/>
    <w:lvl w:ilvl="0">
      <w:lvlJc w:val="left"/>
      <w:lvlText w:val="•"/>
      <w:numFmt w:val="bullet"/>
      <w:start w:val="1"/>
    </w:lvl>
  </w:abstractNum>
  <w:abstractNum w:abstractNumId="11">
    <w:nsid w:val="415E286C"/>
    <w:multiLevelType w:val="hybridMultilevel"/>
    <w:lvl w:ilvl="0">
      <w:lvlJc w:val="left"/>
      <w:lvlText w:val="•"/>
      <w:numFmt w:val="bullet"/>
      <w:start w:val="1"/>
    </w:lvl>
  </w:abstractNum>
  <w:abstractNum w:abstractNumId="12">
    <w:nsid w:val="7C58FD05"/>
    <w:multiLevelType w:val="hybridMultilevel"/>
    <w:lvl w:ilvl="0">
      <w:lvlJc w:val="left"/>
      <w:lvlText w:val="•"/>
      <w:numFmt w:val="bullet"/>
      <w:start w:val="1"/>
    </w:lvl>
  </w:abstractNum>
  <w:abstractNum w:abstractNumId="13">
    <w:nsid w:val="23D86AAC"/>
    <w:multiLevelType w:val="hybridMultilevel"/>
    <w:lvl w:ilvl="0">
      <w:lvlJc w:val="left"/>
      <w:lvlText w:val="•"/>
      <w:numFmt w:val="bullet"/>
      <w:start w:val="1"/>
    </w:lvl>
  </w:abstractNum>
  <w:abstractNum w:abstractNumId="14">
    <w:nsid w:val="45E6D486"/>
    <w:multiLevelType w:val="hybridMultilevel"/>
    <w:lvl w:ilvl="0">
      <w:lvlJc w:val="left"/>
      <w:lvlText w:val="•"/>
      <w:numFmt w:val="bullet"/>
      <w:start w:val="1"/>
    </w:lvl>
    <w:lvl w:ilvl="1">
      <w:lvlJc w:val="left"/>
      <w:lvlText w:val="(%2)"/>
      <w:numFmt w:val="lowerRoman"/>
      <w:start w:val="1"/>
    </w:lvl>
  </w:abstractNum>
  <w:abstractNum w:abstractNumId="15">
    <w:nsid w:val="5C10FE21"/>
    <w:multiLevelType w:val="hybridMultilevel"/>
    <w:lvl w:ilvl="0">
      <w:lvlJc w:val="left"/>
      <w:lvlText w:val="•"/>
      <w:numFmt w:val="bullet"/>
      <w:start w:val="1"/>
    </w:lvl>
  </w:abstractNum>
  <w:abstractNum w:abstractNumId="16">
    <w:nsid w:val="E7FFA2B"/>
    <w:multiLevelType w:val="hybridMultilevel"/>
    <w:lvl w:ilvl="0">
      <w:lvlJc w:val="left"/>
      <w:lvlText w:val="•"/>
      <w:numFmt w:val="bullet"/>
      <w:start w:val="1"/>
    </w:lvl>
  </w:abstractNum>
  <w:abstractNum w:abstractNumId="17">
    <w:nsid w:val="3C5991AA"/>
    <w:multiLevelType w:val="hybridMultilevel"/>
    <w:lvl w:ilvl="0">
      <w:lvlJc w:val="left"/>
      <w:lvlText w:val="•"/>
      <w:numFmt w:val="bullet"/>
      <w:start w:val="1"/>
    </w:lvl>
  </w:abstractNum>
  <w:abstractNum w:abstractNumId="18">
    <w:nsid w:val="4BD8591A"/>
    <w:multiLevelType w:val="hybridMultilevel"/>
    <w:lvl w:ilvl="0">
      <w:lvlJc w:val="left"/>
      <w:lvlText w:val="•"/>
      <w:numFmt w:val="bullet"/>
      <w:start w:val="1"/>
    </w:lvl>
  </w:abstractNum>
  <w:abstractNum w:abstractNumId="19">
    <w:nsid w:val="78DF6A55"/>
    <w:multiLevelType w:val="hybridMultilevel"/>
    <w:lvl w:ilvl="0">
      <w:lvlJc w:val="left"/>
      <w:lvlText w:val="•"/>
      <w:numFmt w:val="bullet"/>
      <w:start w:val="1"/>
    </w:lvl>
  </w:abstractNum>
  <w:abstractNum w:abstractNumId="20">
    <w:nsid w:val="39B7AAA2"/>
    <w:multiLevelType w:val="hybridMultilevel"/>
    <w:lvl w:ilvl="0">
      <w:lvlJc w:val="left"/>
      <w:lvlText w:val="•"/>
      <w:numFmt w:val="bullet"/>
      <w:start w:val="1"/>
    </w:lvl>
  </w:abstractNum>
  <w:abstractNum w:abstractNumId="21">
    <w:nsid w:val="2B0D8DBE"/>
    <w:multiLevelType w:val="hybridMultilevel"/>
    <w:lvl w:ilvl="0">
      <w:lvlJc w:val="left"/>
      <w:lvlText w:val="•"/>
      <w:numFmt w:val="bullet"/>
      <w:start w:val="1"/>
    </w:lvl>
  </w:abstractNum>
  <w:abstractNum w:abstractNumId="22">
    <w:nsid w:val="6C80EC70"/>
    <w:multiLevelType w:val="hybridMultilevel"/>
    <w:lvl w:ilvl="0">
      <w:lvlJc w:val="left"/>
      <w:lvlText w:val="•"/>
      <w:numFmt w:val="bullet"/>
      <w:start w:val="1"/>
    </w:lvl>
  </w:abstractNum>
  <w:abstractNum w:abstractNumId="23">
    <w:nsid w:val="379E21B5"/>
    <w:multiLevelType w:val="hybridMultilevel"/>
    <w:lvl w:ilvl="0">
      <w:lvlJc w:val="left"/>
      <w:lvlText w:val="•"/>
      <w:numFmt w:val="bullet"/>
      <w:start w:val="1"/>
    </w:lvl>
  </w:abstractNum>
  <w:abstractNum w:abstractNumId="24">
    <w:nsid w:val="69E373"/>
    <w:multiLevelType w:val="hybridMultilevel"/>
    <w:lvl w:ilvl="0">
      <w:lvlJc w:val="left"/>
      <w:lvlText w:val="•"/>
      <w:numFmt w:val="bullet"/>
      <w:start w:val="1"/>
    </w:lvl>
  </w:abstractNum>
  <w:abstractNum w:abstractNumId="25">
    <w:nsid w:val="2C27173B"/>
    <w:multiLevelType w:val="hybridMultilevel"/>
    <w:lvl w:ilvl="0">
      <w:lvlJc w:val="left"/>
      <w:lvlText w:val="•"/>
      <w:numFmt w:val="bullet"/>
      <w:start w:val="1"/>
    </w:lvl>
  </w:abstractNum>
  <w:abstractNum w:abstractNumId="26">
    <w:nsid w:val="4C9B0904"/>
    <w:multiLevelType w:val="hybridMultilevel"/>
    <w:lvl w:ilvl="0">
      <w:lvlJc w:val="left"/>
      <w:lvlText w:val="•"/>
      <w:numFmt w:val="bullet"/>
      <w:start w:val="1"/>
    </w:lvl>
  </w:abstractNum>
  <w:abstractNum w:abstractNumId="27">
    <w:nsid w:val="6AA7B75C"/>
    <w:multiLevelType w:val="hybridMultilevel"/>
    <w:lvl w:ilvl="0">
      <w:lvlJc w:val="left"/>
      <w:lvlText w:val="•"/>
      <w:numFmt w:val="bullet"/>
      <w:start w:val="1"/>
    </w:lvl>
  </w:abstractNum>
  <w:abstractNum w:abstractNumId="28">
    <w:nsid w:val="1DF029D3"/>
    <w:multiLevelType w:val="hybridMultilevel"/>
    <w:lvl w:ilvl="0">
      <w:lvlJc w:val="left"/>
      <w:lvlText w:val="•"/>
      <w:numFmt w:val="bullet"/>
      <w:start w:val="1"/>
    </w:lvl>
  </w:abstractNum>
  <w:abstractNum w:abstractNumId="29">
    <w:nsid w:val="5675FF36"/>
    <w:multiLevelType w:val="hybridMultilevel"/>
    <w:lvl w:ilvl="0">
      <w:lvlJc w:val="left"/>
      <w:lvlText w:val="•"/>
      <w:numFmt w:val="bullet"/>
      <w:start w:val="1"/>
    </w:lvl>
  </w:abstractNum>
  <w:abstractNum w:abstractNumId="30">
    <w:nsid w:val="3DD15094"/>
    <w:multiLevelType w:val="hybridMultilevel"/>
    <w:lvl w:ilvl="0">
      <w:lvlJc w:val="left"/>
      <w:lvlText w:val="•"/>
      <w:numFmt w:val="bullet"/>
      <w:start w:val="1"/>
    </w:lvl>
  </w:abstractNum>
  <w:abstractNum w:abstractNumId="31">
    <w:nsid w:val="3DB012B3"/>
    <w:multiLevelType w:val="hybridMultilevel"/>
    <w:lvl w:ilvl="0">
      <w:lvlJc w:val="left"/>
      <w:lvlText w:val="•"/>
      <w:numFmt w:val="bullet"/>
      <w:start w:val="1"/>
    </w:lvl>
  </w:abstractNum>
  <w:abstractNum w:abstractNumId="32">
    <w:nsid w:val="2708C9AF"/>
    <w:multiLevelType w:val="hybridMultilevel"/>
    <w:lvl w:ilvl="0">
      <w:lvlJc w:val="left"/>
      <w:lvlText w:val="•"/>
      <w:numFmt w:val="bullet"/>
      <w:start w:val="1"/>
    </w:lvl>
  </w:abstractNum>
  <w:abstractNum w:abstractNumId="33">
    <w:nsid w:val="5B25ACE2"/>
    <w:multiLevelType w:val="hybridMultilevel"/>
    <w:lvl w:ilvl="0">
      <w:lvlJc w:val="left"/>
      <w:lvlText w:val="•"/>
      <w:numFmt w:val="bullet"/>
      <w:start w:val="1"/>
    </w:lvl>
  </w:abstractNum>
  <w:abstractNum w:abstractNumId="34">
    <w:nsid w:val="175DFCF0"/>
    <w:multiLevelType w:val="hybridMultilevel"/>
    <w:lvl w:ilvl="0">
      <w:lvlJc w:val="left"/>
      <w:lvlText w:val="•"/>
      <w:numFmt w:val="bullet"/>
      <w:start w:val="1"/>
    </w:lvl>
  </w:abstractNum>
  <w:abstractNum w:abstractNumId="35">
    <w:nsid w:val="4F97E3E4"/>
    <w:multiLevelType w:val="hybridMultilevel"/>
    <w:lvl w:ilvl="0">
      <w:lvlJc w:val="left"/>
      <w:lvlText w:val="•"/>
      <w:numFmt w:val="bullet"/>
      <w:start w:val="1"/>
    </w:lvl>
  </w:abstractNum>
  <w:abstractNum w:abstractNumId="36">
    <w:nsid w:val="53B0A9E"/>
    <w:multiLevelType w:val="hybridMultilevel"/>
    <w:lvl w:ilvl="0">
      <w:lvlJc w:val="left"/>
      <w:lvlText w:val="•"/>
      <w:numFmt w:val="bullet"/>
      <w:start w:val="1"/>
    </w:lvl>
  </w:abstractNum>
  <w:abstractNum w:abstractNumId="37">
    <w:nsid w:val="34FD6B4F"/>
    <w:multiLevelType w:val="hybridMultilevel"/>
    <w:lvl w:ilvl="0">
      <w:lvlJc w:val="left"/>
      <w:lvlText w:val="•"/>
      <w:numFmt w:val="bullet"/>
      <w:start w:val="1"/>
    </w:lvl>
  </w:abstractNum>
  <w:abstractNum w:abstractNumId="38">
    <w:nsid w:val="5915FF32"/>
    <w:multiLevelType w:val="hybridMultilevel"/>
    <w:lvl w:ilvl="0">
      <w:lvlJc w:val="left"/>
      <w:lvlText w:val="•"/>
      <w:numFmt w:val="bullet"/>
      <w:start w:val="1"/>
    </w:lvl>
  </w:abstractNum>
  <w:abstractNum w:abstractNumId="39">
    <w:nsid w:val="56438D15"/>
    <w:multiLevelType w:val="hybridMultilevel"/>
    <w:lvl w:ilvl="0">
      <w:lvlJc w:val="left"/>
      <w:lvlText w:val="•"/>
      <w:numFmt w:val="bullet"/>
      <w:start w:val="1"/>
    </w:lvl>
  </w:abstractNum>
  <w:abstractNum w:abstractNumId="40">
    <w:nsid w:val="519E3149"/>
    <w:multiLevelType w:val="hybridMultilevel"/>
    <w:lvl w:ilvl="0">
      <w:lvlJc w:val="left"/>
      <w:lvlText w:val="•"/>
      <w:numFmt w:val="bullet"/>
      <w:start w:val="1"/>
    </w:lvl>
  </w:abstractNum>
  <w:abstractNum w:abstractNumId="41">
    <w:nsid w:val="2C6E4AFD"/>
    <w:multiLevelType w:val="hybridMultilevel"/>
    <w:lvl w:ilvl="0">
      <w:lvlJc w:val="left"/>
      <w:lvlText w:val="•"/>
      <w:numFmt w:val="bullet"/>
      <w:start w:val="1"/>
    </w:lvl>
  </w:abstractNum>
  <w:abstractNum w:abstractNumId="42">
    <w:nsid w:val="17A1B582"/>
    <w:multiLevelType w:val="hybridMultilevel"/>
    <w:lvl w:ilvl="0">
      <w:lvlJc w:val="left"/>
      <w:lvlText w:val="•"/>
      <w:numFmt w:val="bullet"/>
      <w:start w:val="1"/>
    </w:lvl>
  </w:abstractNum>
  <w:abstractNum w:abstractNumId="43">
    <w:nsid w:val="4DF72E4E"/>
    <w:multiLevelType w:val="hybridMultilevel"/>
    <w:lvl w:ilvl="0">
      <w:lvlJc w:val="left"/>
      <w:lvlText w:val="•"/>
      <w:numFmt w:val="bullet"/>
      <w:start w:val="1"/>
    </w:lvl>
  </w:abstractNum>
  <w:abstractNum w:abstractNumId="44">
    <w:nsid w:val="5046B5A9"/>
    <w:multiLevelType w:val="hybridMultilevel"/>
    <w:lvl w:ilvl="0">
      <w:lvlJc w:val="left"/>
      <w:lvlText w:val="(%1)"/>
      <w:numFmt w:val="decimal"/>
      <w:start w:val="1"/>
    </w:lvl>
    <w:lvl w:ilvl="1">
      <w:lvlJc w:val="left"/>
      <w:lvlText w:val="(%2)"/>
      <w:numFmt w:val="lowerRoman"/>
      <w:start w:val="1"/>
    </w:lvl>
  </w:abstractNum>
  <w:abstractNum w:abstractNumId="45">
    <w:nsid w:val="5D888A08"/>
    <w:multiLevelType w:val="hybridMultilevel"/>
    <w:lvl w:ilvl="0">
      <w:lvlJc w:val="left"/>
      <w:lvlText w:val="(%1)"/>
      <w:numFmt w:val="lowerRoman"/>
      <w:start w:val="2"/>
    </w:lvl>
  </w:abstractNum>
  <w:abstractNum w:abstractNumId="46">
    <w:nsid w:val="2A082C70"/>
    <w:multiLevelType w:val="hybridMultilevel"/>
    <w:lvl w:ilvl="0">
      <w:lvlJc w:val="left"/>
      <w:lvlText w:val="(%1)"/>
      <w:numFmt w:val="decimal"/>
      <w:start w:val="2"/>
    </w:lvl>
    <w:lvl w:ilvl="1">
      <w:lvlJc w:val="left"/>
      <w:lvlText w:val="(%2)"/>
      <w:numFmt w:val="lowerRoman"/>
      <w:start w:val="1"/>
    </w:lvl>
  </w:abstractNum>
  <w:abstractNum w:abstractNumId="47">
    <w:nsid w:val="5EC6AFD4"/>
    <w:multiLevelType w:val="hybridMultilevel"/>
    <w:lvl w:ilvl="0">
      <w:lvlJc w:val="left"/>
      <w:lvlText w:val="(%1)"/>
      <w:numFmt w:val="decimal"/>
      <w:start w:val="5"/>
    </w:lvl>
    <w:lvl w:ilvl="1">
      <w:lvlJc w:val="left"/>
      <w:lvlText w:val="(%2)"/>
      <w:numFmt w:val="lowerRoman"/>
      <w:start w:val="1"/>
    </w:lvl>
  </w:abstractNum>
  <w:abstractNum w:abstractNumId="48">
    <w:nsid w:val="19E21BB2"/>
    <w:multiLevelType w:val="hybridMultilevel"/>
    <w:lvl w:ilvl="0">
      <w:lvlJc w:val="left"/>
      <w:lvlText w:val="%1"/>
      <w:numFmt w:val="decimal"/>
      <w:start w:val="1"/>
    </w:lvl>
    <w:lvl w:ilvl="1">
      <w:lvlJc w:val="left"/>
      <w:lvlText w:val="(%2)"/>
      <w:numFmt w:val="decimal"/>
      <w:start w:val="7"/>
    </w:lvl>
  </w:abstractNum>
  <w:abstractNum w:abstractNumId="49">
    <w:nsid w:val="75E0858A"/>
    <w:multiLevelType w:val="hybridMultilevel"/>
    <w:lvl w:ilvl="0">
      <w:lvlJc w:val="left"/>
      <w:lvlText w:val="(%1)"/>
      <w:numFmt w:val="decimal"/>
      <w:start w:val="4"/>
    </w:lvl>
    <w:lvl w:ilvl="1">
      <w:lvlJc w:val="left"/>
      <w:lvlText w:val="(%2)"/>
      <w:numFmt w:val="decimal"/>
      <w:start w:val="9"/>
    </w:lvl>
  </w:abstractNum>
  <w:abstractNum w:abstractNumId="50">
    <w:nsid w:val="57A61A29"/>
    <w:multiLevelType w:val="hybridMultilevel"/>
    <w:lvl w:ilvl="0">
      <w:lvlJc w:val="left"/>
      <w:lvlText w:val="*"/>
      <w:numFmt w:val="bullet"/>
      <w:start w:val="1"/>
    </w:lvl>
  </w:abstractNum>
  <w:abstractNum w:abstractNumId="51">
    <w:nsid w:val="5399C654"/>
    <w:multiLevelType w:val="hybridMultilevel"/>
    <w:lvl w:ilvl="0">
      <w:lvlJc w:val="left"/>
      <w:lvlText w:val="**"/>
      <w:numFmt w:val="bullet"/>
      <w:start w:val="1"/>
    </w:lvl>
  </w:abstractNum>
  <w:abstractNum w:abstractNumId="52">
    <w:nsid w:val="20EE1348"/>
    <w:multiLevelType w:val="hybridMultilevel"/>
    <w:lvl w:ilvl="0">
      <w:lvlJc w:val="left"/>
      <w:lvlText w:val="(%1)"/>
      <w:numFmt w:val="decimal"/>
      <w:start w:val="1"/>
    </w:lvl>
  </w:abstractNum>
  <w:abstractNum w:abstractNumId="53">
    <w:nsid w:val="4427069A"/>
    <w:multiLevelType w:val="hybridMultilevel"/>
    <w:lvl w:ilvl="0">
      <w:lvlJc w:val="left"/>
      <w:lvlText w:val="(%1)"/>
      <w:numFmt w:val="lowerRoman"/>
      <w:start w:val="1"/>
    </w:lvl>
  </w:abstractNum>
  <w:abstractNum w:abstractNumId="54">
    <w:nsid w:val="B37E80A"/>
    <w:multiLevelType w:val="hybridMultilevel"/>
    <w:lvl w:ilvl="0">
      <w:lvlJc w:val="left"/>
      <w:lvlText w:val="(%1)"/>
      <w:numFmt w:val="lowerRoman"/>
      <w:start w:val="3"/>
    </w:lvl>
  </w:abstractNum>
  <w:abstractNum w:abstractNumId="55">
    <w:nsid w:val="2157F6BC"/>
    <w:multiLevelType w:val="hybridMultilevel"/>
    <w:lvl w:ilvl="0">
      <w:lvlJc w:val="left"/>
      <w:lvlText w:val="(%1)"/>
      <w:numFmt w:val="decimal"/>
      <w:start w:val="1"/>
    </w:lvl>
  </w:abstractNum>
  <w:abstractNum w:abstractNumId="56">
    <w:nsid w:val="704E1DD5"/>
    <w:multiLevelType w:val="hybridMultilevel"/>
    <w:lvl w:ilvl="0">
      <w:lvlJc w:val="left"/>
      <w:lvlText w:val="(%1)"/>
      <w:numFmt w:val="lowerLetter"/>
      <w:start w:val="1"/>
    </w:lvl>
  </w:abstractNum>
  <w:abstractNum w:abstractNumId="57">
    <w:nsid w:val="57D2F10E"/>
    <w:multiLevelType w:val="hybridMultilevel"/>
    <w:lvl w:ilvl="0">
      <w:lvlJc w:val="left"/>
      <w:lvlText w:val="(%1)"/>
      <w:numFmt w:val="lowerLetter"/>
      <w:start w:val="2"/>
    </w:lvl>
  </w:abstractNum>
  <w:abstractNum w:abstractNumId="58">
    <w:nsid w:val="BFFAE18"/>
    <w:multiLevelType w:val="hybridMultilevel"/>
    <w:lvl w:ilvl="0">
      <w:lvlJc w:val="left"/>
      <w:lvlText w:val="(%1)"/>
      <w:numFmt w:val="lowerLetter"/>
      <w:start w:val="6"/>
    </w:lvl>
  </w:abstractNum>
  <w:abstractNum w:abstractNumId="59">
    <w:nsid w:val="E3E47A8"/>
    <w:multiLevelType w:val="hybridMultilevel"/>
    <w:lvl w:ilvl="0">
      <w:lvlJc w:val="left"/>
      <w:lvlText w:val="(%1)"/>
      <w:numFmt w:val="decimal"/>
      <w:start w:val="2"/>
    </w:lvl>
  </w:abstractNum>
  <w:abstractNum w:abstractNumId="60">
    <w:nsid w:val="2E48F044"/>
    <w:multiLevelType w:val="hybridMultilevel"/>
    <w:lvl w:ilvl="0">
      <w:lvlJc w:val="left"/>
      <w:lvlText w:val="(%1)"/>
      <w:numFmt w:val="decimal"/>
      <w:start w:val="3"/>
    </w:lvl>
  </w:abstractNum>
  <w:abstractNum w:abstractNumId="61">
    <w:nsid w:val="49D0FEAC"/>
    <w:multiLevelType w:val="hybridMultilevel"/>
    <w:lvl w:ilvl="0">
      <w:lvlJc w:val="left"/>
      <w:lvlText w:val="(%1)"/>
      <w:numFmt w:val="decimal"/>
      <w:start w:val="1"/>
    </w:lvl>
  </w:abstractNum>
  <w:abstractNum w:abstractNumId="62">
    <w:nsid w:val="4BEE5A5B"/>
    <w:multiLevelType w:val="hybridMultilevel"/>
    <w:lvl w:ilvl="0">
      <w:lvlJc w:val="left"/>
      <w:lvlText w:val="(%1)"/>
      <w:numFmt w:val="decimal"/>
      <w:start w:val="4"/>
    </w:lvl>
  </w:abstractNum>
  <w:abstractNum w:abstractNumId="63">
    <w:nsid w:val="5551B9F3"/>
    <w:multiLevelType w:val="hybridMultilevel"/>
    <w:lvl w:ilvl="0">
      <w:lvlJc w:val="left"/>
      <w:lvlText w:val="(%1)"/>
      <w:numFmt w:val="decimal"/>
      <w:start w:val="8"/>
    </w:lvl>
  </w:abstractNum>
  <w:abstractNum w:abstractNumId="64">
    <w:nsid w:val="24F6AB8E"/>
    <w:multiLevelType w:val="hybridMultilevel"/>
    <w:lvl w:ilvl="0">
      <w:lvlJc w:val="left"/>
      <w:lvlText w:val="(%1)"/>
      <w:numFmt w:val="decimal"/>
      <w:start w:val="19"/>
    </w:lvl>
  </w:abstractNum>
  <w:abstractNum w:abstractNumId="65">
    <w:nsid w:val="634C574C"/>
    <w:multiLevelType w:val="hybridMultilevel"/>
    <w:lvl w:ilvl="0">
      <w:lvlJc w:val="left"/>
      <w:lvlText w:val="(%1)"/>
      <w:numFmt w:val="decimal"/>
      <w:start w:val="21"/>
    </w:lvl>
  </w:abstractNum>
  <w:abstractNum w:abstractNumId="66">
    <w:nsid w:val="24E99DD7"/>
    <w:multiLevelType w:val="hybridMultilevel"/>
    <w:lvl w:ilvl="0">
      <w:lvlJc w:val="left"/>
      <w:lvlText w:val="(%1)"/>
      <w:numFmt w:val="lowerLetter"/>
      <w:start w:val="9"/>
    </w:lvl>
    <w:lvl w:ilvl="1">
      <w:lvlJc w:val="left"/>
      <w:lvlText w:val="(%2)"/>
      <w:numFmt w:val="lowerLetter"/>
      <w:start w:val="1"/>
    </w:lvl>
  </w:abstractNum>
  <w:abstractNum w:abstractNumId="67">
    <w:nsid w:val="2A31B62D"/>
    <w:multiLevelType w:val="hybridMultilevel"/>
    <w:lvl w:ilvl="0">
      <w:lvlJc w:val="left"/>
      <w:lvlText w:val="(%1)"/>
      <w:numFmt w:val="lowerRoman"/>
      <w:start w:val="2"/>
    </w:lvl>
  </w:abstractNum>
  <w:abstractNum w:abstractNumId="68">
    <w:nsid w:val="1849C29B"/>
    <w:multiLevelType w:val="hybridMultilevel"/>
    <w:lvl w:ilvl="0">
      <w:lvlJc w:val="left"/>
      <w:lvlText w:val="(%1)"/>
      <w:numFmt w:val="lowerLetter"/>
      <w:start w:val="1"/>
    </w:lvl>
  </w:abstractNum>
  <w:abstractNum w:abstractNumId="69">
    <w:nsid w:val="7DFF9D09"/>
    <w:multiLevelType w:val="hybridMultilevel"/>
    <w:lvl w:ilvl="0">
      <w:lvlJc w:val="left"/>
      <w:lvlText w:val="(%1)"/>
      <w:numFmt w:val="lowerLetter"/>
      <w:start w:val="2"/>
    </w:lvl>
  </w:abstractNum>
  <w:abstractNum w:abstractNumId="70">
    <w:nsid w:val="754342"/>
    <w:multiLevelType w:val="hybridMultilevel"/>
    <w:lvl w:ilvl="0">
      <w:lvlJc w:val="left"/>
      <w:lvlText w:val="(%1)"/>
      <w:numFmt w:val="lowerLetter"/>
      <w:start w:val="26"/>
    </w:lvl>
  </w:abstractNum>
  <w:abstractNum w:abstractNumId="71">
    <w:nsid w:val="69E7F3E5"/>
    <w:multiLevelType w:val="hybridMultilevel"/>
    <w:lvl w:ilvl="0">
      <w:lvlJc w:val="left"/>
      <w:lvlText w:val="(%1)"/>
      <w:numFmt w:val="decimal"/>
      <w:start w:val="1"/>
    </w:lvl>
  </w:abstractNum>
  <w:abstractNum w:abstractNumId="72">
    <w:nsid w:val="2A6DE806"/>
    <w:multiLevelType w:val="hybridMultilevel"/>
    <w:lvl w:ilvl="0">
      <w:lvlJc w:val="left"/>
      <w:lvlText w:val="(%1)"/>
      <w:numFmt w:val="decimal"/>
      <w:start w:val="2"/>
    </w:lvl>
  </w:abstractNum>
  <w:abstractNum w:abstractNumId="73">
    <w:nsid w:val="1816F8C4"/>
    <w:multiLevelType w:val="hybridMultilevel"/>
    <w:lvl w:ilvl="0">
      <w:lvlJc w:val="left"/>
      <w:lvlText w:val="(%1)"/>
      <w:numFmt w:val="decimal"/>
      <w:start w:val="1"/>
    </w:lvl>
    <w:lvl w:ilvl="1">
      <w:lvlJc w:val="left"/>
      <w:lvlText w:val="(%2)"/>
      <w:numFmt w:val="upperLetter"/>
      <w:start w:val="1"/>
    </w:lvl>
  </w:abstractNum>
  <w:abstractNum w:abstractNumId="74">
    <w:nsid w:val="37DF2233"/>
    <w:multiLevelType w:val="hybridMultilevel"/>
    <w:lvl w:ilvl="0">
      <w:lvlJc w:val="left"/>
      <w:lvlText w:val="(%1)"/>
      <w:numFmt w:val="lowerRoman"/>
      <w:start w:val="1"/>
    </w:lvl>
  </w:abstractNum>
  <w:abstractNum w:abstractNumId="75">
    <w:nsid w:val="7AB49DAF"/>
    <w:multiLevelType w:val="hybridMultilevel"/>
    <w:lvl w:ilvl="0">
      <w:lvlJc w:val="left"/>
      <w:lvlText w:val="(%1)"/>
      <w:numFmt w:val="decimal"/>
      <w:start w:val="2"/>
    </w:lvl>
  </w:abstractNum>
  <w:abstractNum w:abstractNumId="76">
    <w:nsid w:val="759F82CD"/>
    <w:multiLevelType w:val="hybridMultilevel"/>
    <w:lvl w:ilvl="0">
      <w:lvlJc w:val="left"/>
      <w:lvlText w:val="(%1)"/>
      <w:numFmt w:val="decimal"/>
      <w:start w:val="1"/>
    </w:lvl>
  </w:abstractNum>
  <w:abstractNum w:abstractNumId="77">
    <w:nsid w:val="61E74EA3"/>
    <w:multiLevelType w:val="hybridMultilevel"/>
    <w:lvl w:ilvl="0">
      <w:lvlJc w:val="left"/>
      <w:lvlText w:val="(%1)"/>
      <w:numFmt w:val="decimal"/>
      <w:start w:val="4"/>
    </w:lvl>
    <w:lvl w:ilvl="1">
      <w:lvlJc w:val="left"/>
      <w:lvlText w:val="(%2)"/>
      <w:numFmt w:val="upperLetter"/>
      <w:start w:val="1"/>
    </w:lvl>
  </w:abstractNum>
  <w:abstractNum w:abstractNumId="78">
    <w:nsid w:val="597B4D84"/>
    <w:multiLevelType w:val="hybridMultilevel"/>
    <w:lvl w:ilvl="0">
      <w:lvlJc w:val="left"/>
      <w:lvlText w:val="(%1)"/>
      <w:numFmt w:val="decimal"/>
      <w:start w:val="1"/>
    </w:lvl>
    <w:lvl w:ilvl="1">
      <w:lvlJc w:val="left"/>
      <w:lvlText w:val="(%2)"/>
      <w:numFmt w:val="upperLetter"/>
      <w:start w:val="1"/>
    </w:lvl>
  </w:abstractNum>
  <w:abstractNum w:abstractNumId="79">
    <w:nsid w:val="F819E7F"/>
    <w:multiLevelType w:val="hybridMultilevel"/>
    <w:lvl w:ilvl="0">
      <w:lvlJc w:val="left"/>
      <w:lvlText w:val="(%1)"/>
      <w:numFmt w:val="decimal"/>
      <w:start w:val="1"/>
    </w:lvl>
  </w:abstractNum>
  <w:abstractNum w:abstractNumId="80">
    <w:nsid w:val="57C7D42D"/>
    <w:multiLevelType w:val="hybridMultilevel"/>
    <w:lvl w:ilvl="0">
      <w:lvlJc w:val="left"/>
      <w:lvlText w:val="(%1)"/>
      <w:numFmt w:val="lowerRoman"/>
      <w:start w:val="1"/>
    </w:lvl>
  </w:abstractNum>
  <w:abstractNum w:abstractNumId="81">
    <w:nsid w:val="312167AD"/>
    <w:multiLevelType w:val="hybridMultilevel"/>
    <w:lvl w:ilvl="0">
      <w:lvlJc w:val="left"/>
      <w:lvlText w:val="(%1)"/>
      <w:numFmt w:val="decimal"/>
      <w:start w:val="1"/>
    </w:lvl>
  </w:abstractNum>
  <w:abstractNum w:abstractNumId="82">
    <w:nsid w:val="631B64D4"/>
    <w:multiLevelType w:val="hybridMultilevel"/>
    <w:lvl w:ilvl="0">
      <w:lvlJc w:val="left"/>
      <w:lvlText w:val="(%1)"/>
      <w:numFmt w:val="decimal"/>
      <w:start w:val="1"/>
    </w:lvl>
  </w:abstractNum>
  <w:abstractNum w:abstractNumId="83">
    <w:nsid w:val="78B5E776"/>
    <w:multiLevelType w:val="hybridMultilevel"/>
    <w:lvl w:ilvl="0">
      <w:lvlJc w:val="left"/>
      <w:lvlText w:val="(%1)"/>
      <w:numFmt w:val="decimal"/>
      <w:start w:val="1"/>
    </w:lvl>
  </w:abstractNum>
  <w:abstractNum w:abstractNumId="84">
    <w:nsid w:val="75486E47"/>
    <w:multiLevelType w:val="hybridMultilevel"/>
    <w:lvl w:ilvl="0">
      <w:lvlJc w:val="left"/>
      <w:lvlText w:val="(%1)"/>
      <w:numFmt w:val="decimal"/>
      <w:start w:val="2"/>
    </w:lvl>
  </w:abstractNum>
  <w:abstractNum w:abstractNumId="85">
    <w:nsid w:val="6E534CDE"/>
    <w:multiLevelType w:val="hybridMultilevel"/>
    <w:lvl w:ilvl="0">
      <w:lvlJc w:val="left"/>
      <w:lvlText w:val="(%1)"/>
      <w:numFmt w:val="decimal"/>
      <w:start w:val="1"/>
    </w:lvl>
  </w:abstractNum>
  <w:abstractNum w:abstractNumId="86">
    <w:nsid w:val="1A0DDE32"/>
    <w:multiLevelType w:val="hybridMultilevel"/>
    <w:lvl w:ilvl="0">
      <w:lvlJc w:val="left"/>
      <w:lvlText w:val="(%1)"/>
      <w:numFmt w:val="decimal"/>
      <w:start w:val="7"/>
    </w:lvl>
  </w:abstractNum>
  <w:abstractNum w:abstractNumId="87">
    <w:nsid w:val="65968C1C"/>
    <w:multiLevelType w:val="hybridMultilevel"/>
    <w:lvl w:ilvl="0">
      <w:lvlJc w:val="left"/>
      <w:lvlText w:val="(%1)"/>
      <w:numFmt w:val="decimal"/>
      <w:start w:val="11"/>
    </w:lvl>
  </w:abstractNum>
  <w:abstractNum w:abstractNumId="88">
    <w:nsid w:val="46263DEC"/>
    <w:multiLevelType w:val="hybridMultilevel"/>
    <w:lvl w:ilvl="0">
      <w:lvlJc w:val="left"/>
      <w:lvlText w:val="(%1)"/>
      <w:numFmt w:val="decimal"/>
      <w:start w:val="12"/>
    </w:lvl>
  </w:abstractNum>
  <w:abstractNum w:abstractNumId="89">
    <w:nsid w:val="260D8C4A"/>
    <w:multiLevelType w:val="hybridMultilevel"/>
    <w:lvl w:ilvl="0">
      <w:lvlJc w:val="left"/>
      <w:lvlText w:val="(%1)"/>
      <w:numFmt w:val="decimal"/>
      <w:start w:val="1"/>
    </w:lvl>
  </w:abstractNum>
  <w:abstractNum w:abstractNumId="90">
    <w:nsid w:val="73D4D3C4"/>
    <w:multiLevelType w:val="hybridMultilevel"/>
    <w:lvl w:ilvl="0">
      <w:lvlJc w:val="left"/>
      <w:lvlText w:val="%1"/>
      <w:numFmt w:val="decimal"/>
      <w:start w:val="1"/>
    </w:lvl>
    <w:lvl w:ilvl="1">
      <w:lvlJc w:val="left"/>
      <w:lvlText w:val="(%2)"/>
      <w:numFmt w:val="lowerLetter"/>
      <w:start w:val="1"/>
    </w:lvl>
  </w:abstractNum>
  <w:abstractNum w:abstractNumId="91">
    <w:nsid w:val="746F2E30"/>
    <w:multiLevelType w:val="hybridMultilevel"/>
    <w:lvl w:ilvl="0">
      <w:lvlJc w:val="left"/>
      <w:lvlText w:val="(%1)"/>
      <w:numFmt w:val="decimal"/>
      <w:start w:val="1"/>
    </w:lvl>
    <w:lvl w:ilvl="1">
      <w:lvlJc w:val="left"/>
      <w:lvlText w:val="(%2)"/>
      <w:numFmt w:val="lowerLetter"/>
      <w:start w:val="5"/>
    </w:lvl>
  </w:abstractNum>
  <w:abstractNum w:abstractNumId="92">
    <w:nsid w:val="6FDE8AF6"/>
    <w:multiLevelType w:val="hybridMultilevel"/>
    <w:lvl w:ilvl="0">
      <w:lvlJc w:val="left"/>
      <w:lvlText w:val="(%1)"/>
      <w:numFmt w:val="lowerLetter"/>
      <w:start w:val="6"/>
    </w:lvl>
  </w:abstractNum>
  <w:abstractNum w:abstractNumId="93">
    <w:nsid w:val="3FC32E20"/>
    <w:multiLevelType w:val="hybridMultilevel"/>
    <w:lvl w:ilvl="0">
      <w:lvlJc w:val="left"/>
      <w:lvlText w:val="(%1)"/>
      <w:numFmt w:val="lowerLetter"/>
      <w:start w:val="1"/>
    </w:lvl>
  </w:abstractNum>
  <w:abstractNum w:abstractNumId="94">
    <w:nsid w:val="49C0E823"/>
    <w:multiLevelType w:val="hybridMultilevel"/>
    <w:lvl w:ilvl="0">
      <w:lvlJc w:val="left"/>
      <w:lvlText w:val="(%1)"/>
      <w:numFmt w:val="lowerLetter"/>
      <w:start w:val="2"/>
    </w:lvl>
  </w:abstractNum>
  <w:abstractNum w:abstractNumId="95">
    <w:nsid w:val="14D53685"/>
    <w:multiLevelType w:val="hybridMultilevel"/>
    <w:lvl w:ilvl="0">
      <w:lvlJc w:val="left"/>
      <w:lvlText w:val="(%1)"/>
      <w:numFmt w:val="decimal"/>
      <w:start w:val="1"/>
    </w:lvl>
    <w:lvl w:ilvl="1">
      <w:lvlJc w:val="left"/>
      <w:lvlText w:val="(%2)"/>
      <w:numFmt w:val="lowerLetter"/>
      <w:start w:val="2"/>
    </w:lvl>
  </w:abstractNum>
  <w:abstractNum w:abstractNumId="96">
    <w:nsid w:val="230F856C"/>
    <w:multiLevelType w:val="hybridMultilevel"/>
    <w:lvl w:ilvl="0">
      <w:lvlJc w:val="left"/>
      <w:lvlText w:val="(%1)"/>
      <w:numFmt w:val="decimal"/>
      <w:start w:val="1"/>
    </w:lvl>
  </w:abstractNum>
  <w:abstractNum w:abstractNumId="97">
    <w:nsid w:val="6EAA85FB"/>
    <w:multiLevelType w:val="hybridMultilevel"/>
    <w:lvl w:ilvl="0">
      <w:lvlJc w:val="left"/>
      <w:lvlText w:val="(%1)"/>
      <w:numFmt w:val="lowerLetter"/>
      <w:start w:val="4"/>
    </w:lvl>
  </w:abstractNum>
  <w:abstractNum w:abstractNumId="98">
    <w:nsid w:val="3F06ECB2"/>
    <w:multiLevelType w:val="hybridMultilevel"/>
    <w:lvl w:ilvl="0">
      <w:lvlJc w:val="left"/>
      <w:lvlText w:val="(%1)"/>
      <w:numFmt w:val="lowerLetter"/>
      <w:start w:val="5"/>
    </w:lvl>
  </w:abstractNum>
  <w:abstractNum w:abstractNumId="99">
    <w:nsid w:val="3B594807"/>
    <w:multiLevelType w:val="hybridMultilevel"/>
    <w:lvl w:ilvl="0">
      <w:lvlJc w:val="left"/>
      <w:lvlText w:val="(%1)"/>
      <w:numFmt w:val="decimal"/>
      <w:start w:val="1"/>
    </w:lvl>
  </w:abstractNum>
  <w:abstractNum w:abstractNumId="100">
    <w:nsid w:val="6CAA2304"/>
    <w:multiLevelType w:val="hybridMultilevel"/>
    <w:lvl w:ilvl="0">
      <w:lvlJc w:val="left"/>
      <w:lvlText w:val="%1"/>
      <w:numFmt w:val="decimal"/>
      <w:start w:val="1"/>
    </w:lvl>
    <w:lvl w:ilvl="1">
      <w:lvlJc w:val="left"/>
      <w:lvlText w:val="(%2)"/>
      <w:numFmt w:val="decimal"/>
      <w:start w:val="2"/>
    </w:lvl>
  </w:abstractNum>
  <w:abstractNum w:abstractNumId="101">
    <w:nsid w:val="3F7C2FF4"/>
    <w:multiLevelType w:val="hybridMultilevel"/>
    <w:lvl w:ilvl="0">
      <w:lvlJc w:val="left"/>
      <w:lvlText w:val="(%1)"/>
      <w:numFmt w:val="decimal"/>
      <w:start w:val="2"/>
    </w:lvl>
    <w:lvl w:ilvl="1">
      <w:lvlJc w:val="left"/>
      <w:lvlText w:val="(%2)"/>
      <w:numFmt w:val="decimal"/>
      <w:start w:val="4"/>
    </w:lvl>
  </w:abstractNum>
  <w:abstractNum w:abstractNumId="102">
    <w:nsid w:val="25413BEC"/>
    <w:multiLevelType w:val="hybridMultilevel"/>
    <w:lvl w:ilvl="0">
      <w:lvlJc w:val="left"/>
      <w:lvlText w:val="(%1)"/>
      <w:numFmt w:val="lowerLetter"/>
      <w:start w:val="1"/>
    </w:lvl>
  </w:abstractNum>
  <w:abstractNum w:abstractNumId="103">
    <w:nsid w:val="17180B0B"/>
    <w:multiLevelType w:val="hybridMultilevel"/>
    <w:lvl w:ilvl="0">
      <w:lvlJc w:val="left"/>
      <w:lvlText w:val="(%1)"/>
      <w:numFmt w:val="lowerLetter"/>
      <w:start w:val="2"/>
    </w:lvl>
  </w:abstractNum>
  <w:abstractNum w:abstractNumId="104">
    <w:nsid w:val="579328B9"/>
    <w:multiLevelType w:val="hybridMultilevel"/>
    <w:lvl w:ilvl="0">
      <w:lvlJc w:val="left"/>
      <w:lvlText w:val="(%1)"/>
      <w:numFmt w:val="decimal"/>
      <w:start w:val="1"/>
    </w:lvl>
  </w:abstractNum>
  <w:abstractNum w:abstractNumId="105">
    <w:nsid w:val="5D205E20"/>
    <w:multiLevelType w:val="hybridMultilevel"/>
    <w:lvl w:ilvl="0">
      <w:lvlJc w:val="left"/>
      <w:lvlText w:val="(%1)"/>
      <w:numFmt w:val="decimal"/>
      <w:start w:val="2"/>
    </w:lvl>
  </w:abstractNum>
  <w:abstractNum w:abstractNumId="106">
    <w:nsid w:val="11CCA8BA"/>
    <w:multiLevelType w:val="hybridMultilevel"/>
    <w:lvl w:ilvl="0">
      <w:lvlJc w:val="left"/>
      <w:lvlText w:val="(%1)"/>
      <w:numFmt w:val="decimal"/>
      <w:start w:val="1"/>
    </w:lvl>
  </w:abstractNum>
  <w:abstractNum w:abstractNumId="107">
    <w:nsid w:val="4D32AB86"/>
    <w:multiLevelType w:val="hybridMultilevel"/>
    <w:lvl w:ilvl="0">
      <w:lvlJc w:val="left"/>
      <w:lvlText w:val="(%1)"/>
      <w:numFmt w:val="decimal"/>
      <w:start w:val="2"/>
    </w:lvl>
  </w:abstractNum>
  <w:abstractNum w:abstractNumId="108">
    <w:nsid w:val="3F07ACC3"/>
    <w:multiLevelType w:val="hybridMultilevel"/>
    <w:lvl w:ilvl="0">
      <w:lvlJc w:val="left"/>
      <w:lvlText w:val="(%1)"/>
      <w:numFmt w:val="decimal"/>
      <w:start w:val="1"/>
    </w:lvl>
  </w:abstractNum>
  <w:abstractNum w:abstractNumId="109">
    <w:nsid w:val="6B47F63E"/>
    <w:multiLevelType w:val="hybridMultilevel"/>
    <w:lvl w:ilvl="0">
      <w:lvlJc w:val="left"/>
      <w:lvlText w:val="(%1)"/>
      <w:numFmt w:val="decimal"/>
      <w:start w:val="1"/>
    </w:lvl>
  </w:abstractNum>
  <w:abstractNum w:abstractNumId="110">
    <w:nsid w:val="5CB44A05"/>
    <w:multiLevelType w:val="hybridMultilevel"/>
    <w:lvl w:ilvl="0">
      <w:lvlJc w:val="left"/>
      <w:lvlText w:val="(%1)"/>
      <w:numFmt w:val="decimal"/>
      <w:start w:val="5"/>
    </w:lvl>
  </w:abstractNum>
  <w:abstractNum w:abstractNumId="111">
    <w:nsid w:val="16CF80F1"/>
    <w:multiLevelType w:val="hybridMultilevel"/>
    <w:lvl w:ilvl="0">
      <w:lvlJc w:val="left"/>
      <w:lvlText w:val="(%1)"/>
      <w:numFmt w:val="upperLetter"/>
      <w:start w:val="4"/>
    </w:lvl>
  </w:abstractNum>
  <w:abstractNum w:abstractNumId="112">
    <w:nsid w:val="1C695DEC"/>
    <w:multiLevelType w:val="hybridMultilevel"/>
    <w:lvl w:ilvl="0">
      <w:lvlJc w:val="left"/>
      <w:lvlText w:val="(%1)"/>
      <w:numFmt w:val="lowerLetter"/>
      <w:start w:val="1"/>
    </w:lvl>
  </w:abstractNum>
  <w:abstractNum w:abstractNumId="113">
    <w:nsid w:val="3FCFAED9"/>
    <w:multiLevelType w:val="hybridMultilevel"/>
    <w:lvl w:ilvl="0">
      <w:lvlJc w:val="left"/>
      <w:lvlText w:val="(%1)"/>
      <w:numFmt w:val="lowerLetter"/>
      <w:start w:val="1"/>
    </w:lvl>
  </w:abstractNum>
  <w:abstractNum w:abstractNumId="114">
    <w:nsid w:val="F856867"/>
    <w:multiLevelType w:val="hybridMultilevel"/>
    <w:lvl w:ilvl="0">
      <w:lvlJc w:val="left"/>
      <w:lvlText w:val="(%1)"/>
      <w:numFmt w:val="decimal"/>
      <w:start w:val="1"/>
    </w:lvl>
  </w:abstractNum>
  <w:abstractNum w:abstractNumId="115">
    <w:nsid w:val="11B1CC33"/>
    <w:multiLevelType w:val="hybridMultilevel"/>
    <w:lvl w:ilvl="0">
      <w:lvlJc w:val="left"/>
      <w:lvlText w:val="(%1)"/>
      <w:numFmt w:val="lowerRoman"/>
      <w:start w:val="1"/>
    </w:lvl>
  </w:abstractNum>
  <w:abstractNum w:abstractNumId="116">
    <w:nsid w:val="2E22FBB7"/>
    <w:multiLevelType w:val="hybridMultilevel"/>
    <w:lvl w:ilvl="0">
      <w:lvlJc w:val="left"/>
      <w:lvlText w:val="(%1)"/>
      <w:numFmt w:val="lowerLetter"/>
      <w:start w:val="1"/>
    </w:lvl>
  </w:abstractNum>
  <w:abstractNum w:abstractNumId="117">
    <w:nsid w:val="29934699"/>
    <w:multiLevelType w:val="hybridMultilevel"/>
    <w:lvl w:ilvl="0">
      <w:lvlJc w:val="left"/>
      <w:lvlText w:val="(%1)"/>
      <w:numFmt w:val="lowerLetter"/>
      <w:start w:val="2"/>
    </w:lvl>
  </w:abstractNum>
  <w:abstractNum w:abstractNumId="118">
    <w:nsid w:val="77485850"/>
    <w:multiLevelType w:val="hybridMultilevel"/>
    <w:lvl w:ilvl="0">
      <w:lvlJc w:val="left"/>
      <w:lvlText w:val="(%1)"/>
      <w:numFmt w:val="decimal"/>
      <w:start w:val="1"/>
    </w:lvl>
  </w:abstractNum>
  <w:abstractNum w:abstractNumId="119">
    <w:nsid w:val="744939A3"/>
    <w:multiLevelType w:val="hybridMultilevel"/>
    <w:lvl w:ilvl="0">
      <w:lvlJc w:val="left"/>
      <w:lvlText w:val="(%1)"/>
      <w:numFmt w:val="decimal"/>
      <w:start w:val="4"/>
    </w:lvl>
  </w:abstractNum>
  <w:abstractNum w:abstractNumId="120">
    <w:nsid w:val="4FA0D2E3"/>
    <w:multiLevelType w:val="hybridMultilevel"/>
    <w:lvl w:ilvl="0">
      <w:lvlJc w:val="left"/>
      <w:lvlText w:val="%1"/>
      <w:numFmt w:val="lowerRoman"/>
      <w:start w:val="1"/>
    </w:lvl>
    <w:lvl w:ilvl="1">
      <w:lvlJc w:val="left"/>
      <w:lvlText w:val="(%2)"/>
      <w:numFmt w:val="decimal"/>
      <w:start w:val="5"/>
    </w:lvl>
  </w:abstractNum>
  <w:abstractNum w:abstractNumId="121">
    <w:nsid w:val="6B1D2C14"/>
    <w:multiLevelType w:val="hybridMultilevel"/>
    <w:lvl w:ilvl="0">
      <w:lvlJc w:val="left"/>
      <w:lvlText w:val="(%1)"/>
      <w:numFmt w:val="lowerRoman"/>
      <w:start w:val="2"/>
    </w:lvl>
    <w:lvl w:ilvl="1">
      <w:lvlJc w:val="left"/>
      <w:lvlText w:val="(%2)"/>
      <w:numFmt w:val="decimal"/>
      <w:start w:val="7"/>
    </w:lvl>
  </w:abstractNum>
  <w:abstractNum w:abstractNumId="122">
    <w:nsid w:val="68B867D3"/>
    <w:multiLevelType w:val="hybridMultilevel"/>
    <w:lvl w:ilvl="0">
      <w:lvlJc w:val="left"/>
      <w:lvlText w:val="(%1)"/>
      <w:numFmt w:val="decimal"/>
      <w:start w:val="11"/>
    </w:lvl>
  </w:abstractNum>
  <w:abstractNum w:abstractNumId="123">
    <w:nsid w:val="3F7F5DD9"/>
    <w:multiLevelType w:val="hybridMultilevel"/>
    <w:lvl w:ilvl="0">
      <w:lvlJc w:val="left"/>
      <w:lvlText w:val="(%1)"/>
      <w:numFmt w:val="decimal"/>
      <w:start w:val="1"/>
    </w:lvl>
  </w:abstractNum>
  <w:abstractNum w:abstractNumId="124">
    <w:nsid w:val="2AE05A34"/>
    <w:multiLevelType w:val="hybridMultilevel"/>
    <w:lvl w:ilvl="0">
      <w:lvlJc w:val="left"/>
      <w:lvlText w:val="(%1)"/>
      <w:numFmt w:val="decimal"/>
      <w:start w:val="1"/>
    </w:lvl>
  </w:abstractNum>
  <w:abstractNum w:abstractNumId="125">
    <w:nsid w:val="32794FF7"/>
    <w:multiLevelType w:val="hybridMultilevel"/>
    <w:lvl w:ilvl="0">
      <w:lvlJc w:val="left"/>
      <w:lvlText w:val="(%1)"/>
      <w:numFmt w:val="lowerRoman"/>
      <w:start w:val="1"/>
    </w:lvl>
  </w:abstractNum>
  <w:abstractNum w:abstractNumId="126">
    <w:nsid w:val="5454945E"/>
    <w:multiLevelType w:val="hybridMultilevel"/>
    <w:lvl w:ilvl="0">
      <w:lvlJc w:val="left"/>
      <w:lvlText w:val="(%1)"/>
      <w:numFmt w:val="decimal"/>
      <w:start w:val="1"/>
    </w:lvl>
  </w:abstractNum>
  <w:abstractNum w:abstractNumId="127">
    <w:nsid w:val="4DEFDFA0"/>
    <w:multiLevelType w:val="hybridMultilevel"/>
    <w:lvl w:ilvl="0">
      <w:lvlJc w:val="left"/>
      <w:lvlText w:val="(%1)"/>
      <w:numFmt w:val="decimal"/>
      <w:start w:val="1"/>
    </w:lvl>
  </w:abstractNum>
  <w:abstractNum w:abstractNumId="128">
    <w:nsid w:val="2123D5F2"/>
    <w:multiLevelType w:val="hybridMultilevel"/>
    <w:lvl w:ilvl="0">
      <w:lvlJc w:val="left"/>
      <w:lvlText w:val="(%1)"/>
      <w:numFmt w:val="lowerLetter"/>
      <w:start w:val="1"/>
    </w:lvl>
  </w:abstractNum>
  <w:abstractNum w:abstractNumId="129">
    <w:nsid w:val="135B8110"/>
    <w:multiLevelType w:val="hybridMultilevel"/>
    <w:lvl w:ilvl="0">
      <w:lvlJc w:val="left"/>
      <w:lvlText w:val="(%1)"/>
      <w:numFmt w:val="lowerLetter"/>
      <w:start w:val="22"/>
    </w:lvl>
  </w:abstractNum>
  <w:abstractNum w:abstractNumId="130">
    <w:nsid w:val="94927A8"/>
    <w:multiLevelType w:val="hybridMultilevel"/>
    <w:lvl w:ilvl="0">
      <w:lvlJc w:val="left"/>
      <w:lvlText w:val="(%1)"/>
      <w:numFmt w:val="lowerRoman"/>
      <w:start w:val="3"/>
    </w:lvl>
  </w:abstractNum>
  <w:abstractNum w:abstractNumId="131">
    <w:nsid w:val="DCDF8F6"/>
    <w:multiLevelType w:val="hybridMultilevel"/>
    <w:lvl w:ilvl="0">
      <w:lvlJc w:val="left"/>
      <w:lvlText w:val="(%1)"/>
      <w:numFmt w:val="decimal"/>
      <w:start w:val="1"/>
    </w:lvl>
  </w:abstractNum>
  <w:abstractNum w:abstractNumId="132">
    <w:nsid w:val="52D7B105"/>
    <w:multiLevelType w:val="hybridMultilevel"/>
    <w:lvl w:ilvl="0">
      <w:lvlJc w:val="left"/>
      <w:lvlText w:val="(%1)"/>
      <w:numFmt w:val="upperLetter"/>
      <w:start w:val="1"/>
    </w:lvl>
  </w:abstractNum>
  <w:abstractNum w:abstractNumId="133">
    <w:nsid w:val="2E8A6394"/>
    <w:multiLevelType w:val="hybridMultilevel"/>
    <w:lvl w:ilvl="0">
      <w:lvlJc w:val="left"/>
      <w:lvlText w:val="(%1)"/>
      <w:numFmt w:val="upperLetter"/>
      <w:start w:val="4"/>
    </w:lvl>
  </w:abstractNum>
  <w:abstractNum w:abstractNumId="134">
    <w:nsid w:val="24E60401"/>
    <w:multiLevelType w:val="hybridMultilevel"/>
    <w:lvl w:ilvl="0">
      <w:lvlJc w:val="left"/>
      <w:lvlText w:val="(%1)"/>
      <w:numFmt w:val="lowerRoman"/>
      <w:start w:val="1"/>
    </w:lvl>
  </w:abstractNum>
  <w:abstractNum w:abstractNumId="135">
    <w:nsid w:val="2A6AD9BE"/>
    <w:multiLevelType w:val="hybridMultilevel"/>
    <w:lvl w:ilvl="0">
      <w:lvlJc w:val="left"/>
      <w:lvlText w:val="(%1)"/>
      <w:numFmt w:val="decimal"/>
      <w:start w:val="1"/>
    </w:lvl>
  </w:abstractNum>
  <w:abstractNum w:abstractNumId="136">
    <w:nsid w:val="BAAC1B4"/>
    <w:multiLevelType w:val="hybridMultilevel"/>
    <w:lvl w:ilvl="0">
      <w:lvlJc w:val="left"/>
      <w:lvlText w:val="(%1)"/>
      <w:numFmt w:val="decimal"/>
      <w:start w:val="3"/>
    </w:lvl>
  </w:abstractNum>
  <w:abstractNum w:abstractNumId="137">
    <w:nsid w:val="36B2ACBC"/>
    <w:multiLevelType w:val="hybridMultilevel"/>
    <w:lvl w:ilvl="0">
      <w:lvlJc w:val="left"/>
      <w:lvlText w:val="(%1)"/>
      <w:numFmt w:val="lowerLetter"/>
      <w:start w:val="1"/>
    </w:lvl>
  </w:abstractNum>
  <w:abstractNum w:abstractNumId="138">
    <w:nsid w:val="779D8544"/>
    <w:multiLevelType w:val="hybridMultilevel"/>
    <w:lvl w:ilvl="0">
      <w:lvlJc w:val="left"/>
      <w:lvlText w:val="(%1)"/>
      <w:numFmt w:val="lowerLetter"/>
      <w:start w:val="5"/>
    </w:lvl>
  </w:abstractNum>
  <w:abstractNum w:abstractNumId="139">
    <w:nsid w:val="4AB26E78"/>
    <w:multiLevelType w:val="hybridMultilevel"/>
    <w:lvl w:ilvl="0">
      <w:lvlJc w:val="left"/>
      <w:lvlText w:val="(%1)"/>
      <w:numFmt w:val="decimal"/>
      <w:start w:val="2"/>
    </w:lvl>
  </w:abstractNum>
  <w:abstractNum w:abstractNumId="140">
    <w:nsid w:val="21FAA2FA"/>
    <w:multiLevelType w:val="hybridMultilevel"/>
    <w:lvl w:ilvl="0">
      <w:lvlJc w:val="left"/>
      <w:lvlText w:val="(%1)"/>
      <w:numFmt w:val="decimal"/>
      <w:start w:val="3"/>
    </w:lvl>
  </w:abstractNum>
  <w:abstractNum w:abstractNumId="141">
    <w:nsid w:val="5451CF49"/>
    <w:multiLevelType w:val="hybridMultilevel"/>
    <w:lvl w:ilvl="0">
      <w:lvlJc w:val="left"/>
      <w:lvlText w:val="(%1)"/>
      <w:numFmt w:val="decimal"/>
      <w:start w:val="1"/>
    </w:lvl>
  </w:abstractNum>
  <w:abstractNum w:abstractNumId="142">
    <w:nsid w:val="6181EF69"/>
    <w:multiLevelType w:val="hybridMultilevel"/>
    <w:lvl w:ilvl="0">
      <w:lvlJc w:val="left"/>
      <w:lvlText w:val="(%1)"/>
      <w:numFmt w:val="decimal"/>
      <w:start w:val="2"/>
    </w:lvl>
  </w:abstractNum>
  <w:abstractNum w:abstractNumId="143">
    <w:nsid w:val="3E6400E6"/>
    <w:multiLevelType w:val="hybridMultilevel"/>
    <w:lvl w:ilvl="0">
      <w:lvlJc w:val="left"/>
      <w:lvlText w:val="(%1)"/>
      <w:numFmt w:val="decimal"/>
      <w:start w:val="9"/>
    </w:lvl>
  </w:abstractNum>
  <w:abstractNum w:abstractNumId="144">
    <w:nsid w:val="14217E23"/>
    <w:multiLevelType w:val="hybridMultilevel"/>
    <w:lvl w:ilvl="0">
      <w:lvlJc w:val="left"/>
      <w:lvlText w:val="(%1)"/>
      <w:numFmt w:val="decimal"/>
      <w:start w:val="15"/>
    </w:lvl>
  </w:abstractNum>
  <w:abstractNum w:abstractNumId="145">
    <w:nsid w:val="710757D0"/>
    <w:multiLevelType w:val="hybridMultilevel"/>
    <w:lvl w:ilvl="0">
      <w:lvlJc w:val="left"/>
      <w:lvlText w:val="(%1)"/>
      <w:numFmt w:val="lowerLetter"/>
      <w:start w:val="9"/>
    </w:lvl>
    <w:lvl w:ilvl="1">
      <w:lvlJc w:val="left"/>
      <w:lvlText w:val="(%2)"/>
      <w:numFmt w:val="lowerLetter"/>
      <w:start w:val="1"/>
    </w:lvl>
  </w:abstractNum>
  <w:abstractNum w:abstractNumId="146">
    <w:nsid w:val="5015CD1A"/>
    <w:multiLevelType w:val="hybridMultilevel"/>
    <w:lvl w:ilvl="0">
      <w:lvlJc w:val="left"/>
      <w:lvlText w:val="(%1)"/>
      <w:numFmt w:val="lowerRoman"/>
      <w:start w:val="2"/>
    </w:lvl>
  </w:abstractNum>
  <w:abstractNum w:abstractNumId="147">
    <w:nsid w:val="424479DA"/>
    <w:multiLevelType w:val="hybridMultilevel"/>
    <w:lvl w:ilvl="0">
      <w:lvlJc w:val="left"/>
      <w:lvlText w:val="(%1)"/>
      <w:numFmt w:val="lowerLetter"/>
      <w:start w:val="1"/>
    </w:lvl>
  </w:abstractNum>
  <w:abstractNum w:abstractNumId="148">
    <w:nsid w:val="1A9A9E69"/>
    <w:multiLevelType w:val="hybridMultilevel"/>
    <w:lvl w:ilvl="0">
      <w:lvlJc w:val="left"/>
      <w:lvlText w:val="(%1)"/>
      <w:numFmt w:val="lowerLetter"/>
      <w:start w:val="2"/>
    </w:lvl>
  </w:abstractNum>
  <w:abstractNum w:abstractNumId="149">
    <w:nsid w:val="475E256A"/>
    <w:multiLevelType w:val="hybridMultilevel"/>
    <w:lvl w:ilvl="0">
      <w:lvlJc w:val="left"/>
      <w:lvlText w:val="(%1)"/>
      <w:numFmt w:val="decimal"/>
      <w:start w:val="1"/>
    </w:lvl>
  </w:abstractNum>
  <w:abstractNum w:abstractNumId="150">
    <w:nsid w:val="368DB37E"/>
    <w:multiLevelType w:val="hybridMultilevel"/>
    <w:lvl w:ilvl="0">
      <w:lvlJc w:val="left"/>
      <w:lvlText w:val="(%1)"/>
      <w:numFmt w:val="decimal"/>
      <w:start w:val="2"/>
    </w:lvl>
  </w:abstractNum>
  <w:abstractNum w:abstractNumId="151">
    <w:nsid w:val="6A3B714C"/>
    <w:multiLevelType w:val="hybridMultilevel"/>
    <w:lvl w:ilvl="0">
      <w:lvlJc w:val="left"/>
      <w:lvlText w:val="(%1)"/>
      <w:numFmt w:val="decimal"/>
      <w:start w:val="1"/>
    </w:lvl>
    <w:lvl w:ilvl="1">
      <w:lvlJc w:val="left"/>
      <w:lvlText w:val="(%2)"/>
      <w:numFmt w:val="upperLetter"/>
      <w:start w:val="1"/>
    </w:lvl>
  </w:abstractNum>
  <w:abstractNum w:abstractNumId="152">
    <w:nsid w:val="327B517E"/>
    <w:multiLevelType w:val="hybridMultilevel"/>
    <w:lvl w:ilvl="0">
      <w:lvlJc w:val="left"/>
      <w:lvlText w:val="(%1)"/>
      <w:numFmt w:val="lowerRoman"/>
      <w:start w:val="1"/>
    </w:lvl>
  </w:abstractNum>
  <w:abstractNum w:abstractNumId="153">
    <w:nsid w:val="1F461B51"/>
    <w:multiLevelType w:val="hybridMultilevel"/>
    <w:lvl w:ilvl="0">
      <w:lvlJc w:val="left"/>
      <w:lvlText w:val="(%1)"/>
      <w:numFmt w:val="decimal"/>
      <w:start w:val="2"/>
    </w:lvl>
  </w:abstractNum>
  <w:abstractNum w:abstractNumId="154">
    <w:nsid w:val="29BACF25"/>
    <w:multiLevelType w:val="hybridMultilevel"/>
    <w:lvl w:ilvl="0">
      <w:lvlJc w:val="left"/>
      <w:lvlText w:val="(%1)"/>
      <w:numFmt w:val="decimal"/>
      <w:start w:val="1"/>
    </w:lvl>
  </w:abstractNum>
  <w:abstractNum w:abstractNumId="155">
    <w:nsid w:val="5D5BABB3"/>
    <w:multiLevelType w:val="hybridMultilevel"/>
    <w:lvl w:ilvl="0">
      <w:lvlJc w:val="left"/>
      <w:lvlText w:val="(%1)"/>
      <w:numFmt w:val="decimal"/>
      <w:start w:val="6"/>
    </w:lvl>
    <w:lvl w:ilvl="1">
      <w:lvlJc w:val="left"/>
      <w:lvlText w:val="(%2)"/>
      <w:numFmt w:val="upperLetter"/>
      <w:start w:val="1"/>
    </w:lvl>
  </w:abstractNum>
  <w:abstractNum w:abstractNumId="156">
    <w:nsid w:val="51BF6B48"/>
    <w:multiLevelType w:val="hybridMultilevel"/>
    <w:lvl w:ilvl="0">
      <w:lvlJc w:val="left"/>
      <w:lvlText w:val="(%1)"/>
      <w:numFmt w:val="decimal"/>
      <w:start w:val="1"/>
    </w:lvl>
    <w:lvl w:ilvl="1">
      <w:lvlJc w:val="left"/>
      <w:lvlText w:val="(%2)"/>
      <w:numFmt w:val="upperLetter"/>
      <w:start w:val="1"/>
    </w:lvl>
  </w:abstractNum>
  <w:abstractNum w:abstractNumId="157">
    <w:nsid w:val="7E0F6384"/>
    <w:multiLevelType w:val="hybridMultilevel"/>
    <w:lvl w:ilvl="0">
      <w:lvlJc w:val="left"/>
      <w:lvlText w:val="(%1)"/>
      <w:numFmt w:val="decimal"/>
      <w:start w:val="1"/>
    </w:lvl>
  </w:abstractNum>
  <w:abstractNum w:abstractNumId="158">
    <w:nsid w:val="2B4B8B53"/>
    <w:multiLevelType w:val="hybridMultilevel"/>
    <w:lvl w:ilvl="0">
      <w:lvlJc w:val="left"/>
      <w:lvlText w:val="(%1)"/>
      <w:numFmt w:val="lowerRoman"/>
      <w:start w:val="1"/>
    </w:lvl>
  </w:abstractNum>
  <w:abstractNum w:abstractNumId="159">
    <w:nsid w:val="72E3413A"/>
    <w:multiLevelType w:val="hybridMultilevel"/>
    <w:lvl w:ilvl="0">
      <w:lvlJc w:val="left"/>
      <w:lvlText w:val="(%1)"/>
      <w:numFmt w:val="decimal"/>
      <w:start w:val="2"/>
    </w:lvl>
  </w:abstractNum>
  <w:abstractNum w:abstractNumId="160">
    <w:nsid w:val="116AE494"/>
    <w:multiLevelType w:val="hybridMultilevel"/>
    <w:lvl w:ilvl="0">
      <w:lvlJc w:val="left"/>
      <w:lvlText w:val="(%1)"/>
      <w:numFmt w:val="decimal"/>
      <w:start w:val="1"/>
    </w:lvl>
  </w:abstractNum>
  <w:abstractNum w:abstractNumId="161">
    <w:nsid w:val="3494B2FB"/>
    <w:multiLevelType w:val="hybridMultilevel"/>
    <w:lvl w:ilvl="0">
      <w:lvlJc w:val="left"/>
      <w:lvlText w:val="(%1)"/>
      <w:numFmt w:val="decimal"/>
      <w:start w:val="1"/>
    </w:lvl>
  </w:abstractNum>
  <w:abstractNum w:abstractNumId="162">
    <w:nsid w:val="B13A31"/>
    <w:multiLevelType w:val="hybridMultilevel"/>
    <w:lvl w:ilvl="0">
      <w:lvlJc w:val="left"/>
      <w:lvlText w:val="(%1)"/>
      <w:numFmt w:val="decimal"/>
      <w:start w:val="1"/>
    </w:lvl>
  </w:abstractNum>
  <w:abstractNum w:abstractNumId="163">
    <w:nsid w:val="64429599"/>
    <w:multiLevelType w:val="hybridMultilevel"/>
    <w:lvl w:ilvl="0">
      <w:lvlJc w:val="left"/>
      <w:lvlText w:val="(%1)"/>
      <w:numFmt w:val="decimal"/>
      <w:start w:val="7"/>
    </w:lvl>
  </w:abstractNum>
  <w:abstractNum w:abstractNumId="164">
    <w:nsid w:val="631F1690"/>
    <w:multiLevelType w:val="hybridMultilevel"/>
    <w:lvl w:ilvl="0">
      <w:lvlJc w:val="left"/>
      <w:lvlText w:val="(%1)"/>
      <w:numFmt w:val="decimal"/>
      <w:start w:val="8"/>
    </w:lvl>
  </w:abstractNum>
  <w:abstractNum w:abstractNumId="165">
    <w:nsid w:val="25973E32"/>
    <w:multiLevelType w:val="hybridMultilevel"/>
    <w:lvl w:ilvl="0">
      <w:lvlJc w:val="left"/>
      <w:lvlText w:val="(%1)"/>
      <w:numFmt w:val="decimal"/>
      <w:start w:val="11"/>
    </w:lvl>
  </w:abstractNum>
  <w:abstractNum w:abstractNumId="166">
    <w:nsid w:val="EAD6F57"/>
    <w:multiLevelType w:val="hybridMultilevel"/>
    <w:lvl w:ilvl="0">
      <w:lvlJc w:val="left"/>
      <w:lvlText w:val="(%1)"/>
      <w:numFmt w:val="decimal"/>
      <w:start w:val="1"/>
    </w:lvl>
  </w:abstractNum>
  <w:abstractNum w:abstractNumId="167">
    <w:nsid w:val="6EC9D844"/>
    <w:multiLevelType w:val="hybridMultilevel"/>
    <w:lvl w:ilvl="0">
      <w:lvlJc w:val="left"/>
      <w:lvlText w:val="(%1)"/>
      <w:numFmt w:val="lowerLetter"/>
      <w:start w:val="1"/>
    </w:lvl>
  </w:abstractNum>
  <w:abstractNum w:abstractNumId="168">
    <w:nsid w:val="5C49EAEE"/>
    <w:multiLevelType w:val="hybridMultilevel"/>
    <w:lvl w:ilvl="0">
      <w:lvlJc w:val="left"/>
      <w:lvlText w:val="%1"/>
      <w:numFmt w:val="decimal"/>
      <w:start w:val="1"/>
    </w:lvl>
    <w:lvl w:ilvl="1">
      <w:lvlJc w:val="left"/>
      <w:lvlText w:val="(%2)"/>
      <w:numFmt w:val="lowerLetter"/>
      <w:start w:val="4"/>
    </w:lvl>
  </w:abstractNum>
  <w:abstractNum w:abstractNumId="169">
    <w:nsid w:val="64AF49B"/>
    <w:multiLevelType w:val="hybridMultilevel"/>
    <w:lvl w:ilvl="0">
      <w:lvlJc w:val="left"/>
      <w:lvlText w:val="(%1)"/>
      <w:numFmt w:val="decimal"/>
      <w:start w:val="1"/>
    </w:lvl>
    <w:lvl w:ilvl="1">
      <w:lvlJc w:val="left"/>
      <w:lvlText w:val="%2"/>
      <w:numFmt w:val="lowerLetter"/>
      <w:start w:val="1"/>
    </w:lvl>
  </w:abstractNum>
  <w:abstractNum w:abstractNumId="170">
    <w:nsid w:val="397C46BC"/>
    <w:multiLevelType w:val="hybridMultilevel"/>
    <w:lvl w:ilvl="0">
      <w:lvlJc w:val="left"/>
      <w:lvlText w:val="(%1)"/>
      <w:numFmt w:val="lowerLetter"/>
      <w:start w:val="5"/>
    </w:lvl>
  </w:abstractNum>
  <w:abstractNum w:abstractNumId="171">
    <w:nsid w:val="7E448DE9"/>
    <w:multiLevelType w:val="hybridMultilevel"/>
    <w:lvl w:ilvl="0">
      <w:lvlJc w:val="left"/>
      <w:lvlText w:val="(%1)"/>
      <w:numFmt w:val="lowerLetter"/>
      <w:start w:val="1"/>
    </w:lvl>
  </w:abstractNum>
  <w:abstractNum w:abstractNumId="172">
    <w:nsid w:val="5A9CC3E5"/>
    <w:multiLevelType w:val="hybridMultilevel"/>
    <w:lvl w:ilvl="0">
      <w:lvlJc w:val="left"/>
      <w:lvlText w:val="(%1)"/>
      <w:numFmt w:val="lowerLetter"/>
      <w:start w:val="3"/>
    </w:lvl>
  </w:abstractNum>
  <w:abstractNum w:abstractNumId="173">
    <w:nsid w:val="1AFE3625"/>
    <w:multiLevelType w:val="hybridMultilevel"/>
    <w:lvl w:ilvl="0">
      <w:lvlJc w:val="left"/>
      <w:lvlText w:val="(%1)"/>
      <w:numFmt w:val="decimal"/>
      <w:start w:val="1"/>
    </w:lvl>
    <w:lvl w:ilvl="1">
      <w:lvlJc w:val="left"/>
      <w:lvlText w:val="(%2)"/>
      <w:numFmt w:val="lowerLetter"/>
      <w:start w:val="2"/>
    </w:lvl>
  </w:abstractNum>
  <w:abstractNum w:abstractNumId="174">
    <w:nsid w:val="3CA88ECF"/>
    <w:multiLevelType w:val="hybridMultilevel"/>
    <w:lvl w:ilvl="0">
      <w:lvlJc w:val="left"/>
      <w:lvlText w:val="(%1)"/>
      <w:numFmt w:val="lowerLetter"/>
      <w:start w:val="3"/>
    </w:lvl>
  </w:abstractNum>
  <w:abstractNum w:abstractNumId="175">
    <w:nsid w:val="6EBE4208"/>
    <w:multiLevelType w:val="hybridMultilevel"/>
    <w:lvl w:ilvl="0">
      <w:lvlJc w:val="left"/>
      <w:lvlText w:val="(%1)"/>
      <w:numFmt w:val="decimal"/>
      <w:start w:val="1"/>
    </w:lvl>
  </w:abstractNum>
  <w:abstractNum w:abstractNumId="176">
    <w:nsid w:val="C058DF5"/>
    <w:multiLevelType w:val="hybridMultilevel"/>
    <w:lvl w:ilvl="0">
      <w:lvlJc w:val="left"/>
      <w:lvlText w:val="(%1)"/>
      <w:numFmt w:val="lowerLetter"/>
      <w:start w:val="4"/>
    </w:lvl>
  </w:abstractNum>
  <w:abstractNum w:abstractNumId="177">
    <w:nsid w:val="CBE5BE9"/>
    <w:multiLevelType w:val="hybridMultilevel"/>
    <w:lvl w:ilvl="0">
      <w:lvlJc w:val="left"/>
      <w:lvlText w:val="(%1)"/>
      <w:numFmt w:val="decimal"/>
      <w:start w:val="1"/>
    </w:lvl>
  </w:abstractNum>
  <w:abstractNum w:abstractNumId="178">
    <w:nsid w:val="3102BBE2"/>
    <w:multiLevelType w:val="hybridMultilevel"/>
    <w:lvl w:ilvl="0">
      <w:lvlJc w:val="left"/>
      <w:lvlText w:val="%1"/>
      <w:numFmt w:val="decimal"/>
      <w:start w:val="1"/>
    </w:lvl>
    <w:lvl w:ilvl="1">
      <w:lvlJc w:val="left"/>
      <w:lvlText w:val="(%2)"/>
      <w:numFmt w:val="decimal"/>
      <w:start w:val="2"/>
    </w:lvl>
  </w:abstractNum>
  <w:abstractNum w:abstractNumId="179">
    <w:nsid w:val="26A02C5E"/>
    <w:multiLevelType w:val="hybridMultilevel"/>
    <w:lvl w:ilvl="0">
      <w:lvlJc w:val="left"/>
      <w:lvlText w:val="(%1)"/>
      <w:numFmt w:val="decimal"/>
      <w:start w:val="2"/>
    </w:lvl>
    <w:lvl w:ilvl="1">
      <w:lvlJc w:val="left"/>
      <w:lvlText w:val="(%2)"/>
      <w:numFmt w:val="decimal"/>
      <w:start w:val="4"/>
    </w:lvl>
  </w:abstractNum>
  <w:abstractNum w:abstractNumId="180">
    <w:nsid w:val="541C8153"/>
    <w:multiLevelType w:val="hybridMultilevel"/>
    <w:lvl w:ilvl="0">
      <w:lvlJc w:val="left"/>
      <w:lvlText w:val="(%1)"/>
      <w:numFmt w:val="lowerLetter"/>
      <w:start w:val="1"/>
    </w:lvl>
  </w:abstractNum>
  <w:abstractNum w:abstractNumId="181">
    <w:nsid w:val="67906F60"/>
    <w:multiLevelType w:val="hybridMultilevel"/>
    <w:lvl w:ilvl="0">
      <w:lvlJc w:val="left"/>
      <w:lvlText w:val="(%1)"/>
      <w:numFmt w:val="decimal"/>
      <w:start w:val="1"/>
    </w:lvl>
  </w:abstractNum>
  <w:abstractNum w:abstractNumId="182">
    <w:nsid w:val="10DB9DAA"/>
    <w:multiLevelType w:val="hybridMultilevel"/>
    <w:lvl w:ilvl="0">
      <w:lvlJc w:val="left"/>
      <w:lvlText w:val="(%1)"/>
      <w:numFmt w:val="decimal"/>
      <w:start w:val="3"/>
    </w:lvl>
  </w:abstractNum>
  <w:abstractNum w:abstractNumId="183">
    <w:nsid w:val="697D2D2"/>
    <w:multiLevelType w:val="hybridMultilevel"/>
    <w:lvl w:ilvl="0">
      <w:lvlJc w:val="left"/>
      <w:lvlText w:val="(%1)"/>
      <w:numFmt w:val="decimal"/>
      <w:start w:val="1"/>
    </w:lvl>
  </w:abstractNum>
  <w:abstractNum w:abstractNumId="184">
    <w:nsid w:val="6D68AB2"/>
    <w:multiLevelType w:val="hybridMultilevel"/>
    <w:lvl w:ilvl="0">
      <w:lvlJc w:val="left"/>
      <w:lvlText w:val="(%1)"/>
      <w:numFmt w:val="decimal"/>
      <w:start w:val="1"/>
    </w:lvl>
  </w:abstractNum>
  <w:abstractNum w:abstractNumId="185">
    <w:nsid w:val="3A966CD0"/>
    <w:multiLevelType w:val="hybridMultilevel"/>
    <w:lvl w:ilvl="0">
      <w:lvlJc w:val="left"/>
      <w:lvlText w:val="(%1)"/>
      <w:numFmt w:val="decimal"/>
      <w:start w:val="1"/>
    </w:lvl>
  </w:abstractNum>
  <w:abstractNum w:abstractNumId="186">
    <w:nsid w:val="63F37E85"/>
    <w:multiLevelType w:val="hybridMultilevel"/>
    <w:lvl w:ilvl="0">
      <w:lvlJc w:val="left"/>
      <w:lvlText w:val="(%1)"/>
      <w:numFmt w:val="decimal"/>
      <w:start w:val="6"/>
    </w:lvl>
  </w:abstractNum>
  <w:abstractNum w:abstractNumId="187">
    <w:nsid w:val="5895F5FA"/>
    <w:multiLevelType w:val="hybridMultilevel"/>
    <w:lvl w:ilvl="0">
      <w:lvlJc w:val="left"/>
      <w:lvlText w:val="(%1)"/>
      <w:numFmt w:val="upperLetter"/>
      <w:start w:val="4"/>
    </w:lvl>
  </w:abstractNum>
  <w:abstractNum w:abstractNumId="188">
    <w:nsid w:val="38A5D054"/>
    <w:multiLevelType w:val="hybridMultilevel"/>
    <w:lvl w:ilvl="0">
      <w:lvlJc w:val="left"/>
      <w:lvlText w:val="(%1)"/>
      <w:numFmt w:val="lowerLetter"/>
      <w:start w:val="1"/>
    </w:lvl>
  </w:abstractNum>
  <w:abstractNum w:abstractNumId="189">
    <w:nsid w:val="F3F09D8"/>
    <w:multiLevelType w:val="hybridMultilevel"/>
    <w:lvl w:ilvl="0">
      <w:lvlJc w:val="left"/>
      <w:lvlText w:val="(%1)"/>
      <w:numFmt w:val="lowerLetter"/>
      <w:start w:val="6"/>
    </w:lvl>
  </w:abstractNum>
  <w:abstractNum w:abstractNumId="190">
    <w:nsid w:val="4B793735"/>
    <w:multiLevelType w:val="hybridMultilevel"/>
    <w:lvl w:ilvl="0">
      <w:lvlJc w:val="left"/>
      <w:lvlText w:val="(%1)"/>
      <w:numFmt w:val="lowerLetter"/>
      <w:start w:val="1"/>
    </w:lvl>
  </w:abstractNum>
  <w:abstractNum w:abstractNumId="191">
    <w:nsid w:val="4A10B4E8"/>
    <w:multiLevelType w:val="hybridMultilevel"/>
    <w:lvl w:ilvl="0">
      <w:lvlJc w:val="left"/>
      <w:lvlText w:val="(%1)"/>
      <w:numFmt w:val="decimal"/>
      <w:start w:val="1"/>
    </w:lvl>
  </w:abstractNum>
  <w:abstractNum w:abstractNumId="192">
    <w:nsid w:val="43D3BCD4"/>
    <w:multiLevelType w:val="hybridMultilevel"/>
    <w:lvl w:ilvl="0">
      <w:lvlJc w:val="left"/>
      <w:lvlText w:val="(%1)"/>
      <w:numFmt w:val="lowerRoman"/>
      <w:start w:val="1"/>
    </w:lvl>
  </w:abstractNum>
  <w:abstractNum w:abstractNumId="193">
    <w:nsid w:val="4C2A7166"/>
    <w:multiLevelType w:val="hybridMultilevel"/>
    <w:lvl w:ilvl="0">
      <w:lvlJc w:val="left"/>
      <w:lvlText w:val="(%1)"/>
      <w:numFmt w:val="lowerLetter"/>
      <w:start w:val="1"/>
    </w:lvl>
  </w:abstractNum>
  <w:abstractNum w:abstractNumId="194">
    <w:nsid w:val="2E534A82"/>
    <w:multiLevelType w:val="hybridMultilevel"/>
    <w:lvl w:ilvl="0">
      <w:lvlJc w:val="left"/>
      <w:lvlText w:val="(%1)"/>
      <w:numFmt w:val="decimal"/>
      <w:start w:val="1"/>
    </w:lvl>
  </w:abstractNum>
  <w:abstractNum w:abstractNumId="195">
    <w:nsid w:val="26F2D364"/>
    <w:multiLevelType w:val="hybridMultilevel"/>
    <w:lvl w:ilvl="0">
      <w:lvlJc w:val="left"/>
      <w:lvlText w:val="(%1)"/>
      <w:numFmt w:val="decimal"/>
      <w:start w:val="1"/>
    </w:lvl>
  </w:abstractNum>
  <w:abstractNum w:abstractNumId="196">
    <w:nsid w:val="71C1AF98"/>
    <w:multiLevelType w:val="hybridMultilevel"/>
    <w:lvl w:ilvl="0">
      <w:lvlJc w:val="left"/>
      <w:lvlText w:val="%1"/>
      <w:numFmt w:val="lowerLetter"/>
      <w:start w:val="1"/>
    </w:lvl>
    <w:lvl w:ilvl="1">
      <w:lvlJc w:val="left"/>
      <w:lvlText w:val="(%2)"/>
      <w:numFmt w:val="decimal"/>
      <w:start w:val="4"/>
    </w:lvl>
  </w:abstractNum>
  <w:abstractNum w:abstractNumId="197">
    <w:nsid w:val="3D00B9D9"/>
    <w:multiLevelType w:val="hybridMultilevel"/>
    <w:lvl w:ilvl="0">
      <w:lvlJc w:val="left"/>
      <w:lvlText w:val="(%1)"/>
      <w:numFmt w:val="lowerLetter"/>
      <w:start w:val="1"/>
    </w:lvl>
    <w:lvl w:ilvl="1">
      <w:lvlJc w:val="left"/>
      <w:lvlText w:val="(%2)"/>
      <w:numFmt w:val="decimal"/>
      <w:start w:val="5"/>
    </w:lvl>
  </w:abstractNum>
  <w:abstractNum w:abstractNumId="198">
    <w:nsid w:val="15BCABA8"/>
    <w:multiLevelType w:val="hybridMultilevel"/>
    <w:lvl w:ilvl="0">
      <w:lvlJc w:val="left"/>
      <w:lvlText w:val="(%1)"/>
      <w:numFmt w:val="lowerRoman"/>
      <w:start w:val="2"/>
    </w:lvl>
    <w:lvl w:ilvl="1">
      <w:lvlJc w:val="left"/>
      <w:lvlText w:val="(%2)"/>
      <w:numFmt w:val="decimal"/>
      <w:start w:val="7"/>
    </w:lvl>
  </w:abstractNum>
  <w:abstractNum w:abstractNumId="199">
    <w:nsid w:val="4E0B9A87"/>
    <w:multiLevelType w:val="hybridMultilevel"/>
    <w:lvl w:ilvl="0">
      <w:lvlJc w:val="left"/>
      <w:lvlText w:val="(%1)"/>
      <w:numFmt w:val="decimal"/>
      <w:start w:val="9"/>
    </w:lvl>
  </w:abstractNum>
  <w:abstractNum w:abstractNumId="200">
    <w:nsid w:val="434BAE75"/>
    <w:multiLevelType w:val="hybridMultilevel"/>
    <w:lvl w:ilvl="0">
      <w:lvlJc w:val="left"/>
      <w:lvlText w:val="(%1)"/>
      <w:numFmt w:val="decimal"/>
      <w:start w:val="1"/>
    </w:lvl>
  </w:abstractNum>
  <w:abstractNum w:abstractNumId="201">
    <w:nsid w:val="4F38F265"/>
    <w:multiLevelType w:val="hybridMultilevel"/>
    <w:lvl w:ilvl="0">
      <w:lvlJc w:val="left"/>
      <w:lvlText w:val="(%1)"/>
      <w:numFmt w:val="decimal"/>
      <w:start w:val="1"/>
    </w:lvl>
  </w:abstractNum>
  <w:abstractNum w:abstractNumId="202">
    <w:nsid w:val="4C502870"/>
    <w:multiLevelType w:val="hybridMultilevel"/>
    <w:lvl w:ilvl="0">
      <w:lvlJc w:val="left"/>
      <w:lvlText w:val="(%1)"/>
      <w:numFmt w:val="lowerRoman"/>
      <w:start w:val="1"/>
    </w:lvl>
    <w:lvl w:ilvl="1">
      <w:lvlJc w:val="left"/>
      <w:lvlText w:val="(%2)"/>
      <w:numFmt w:val="decimal"/>
      <w:start w:val="1"/>
    </w:lvl>
  </w:abstractNum>
  <w:abstractNum w:abstractNumId="203">
    <w:nsid w:val="1DE8725A"/>
    <w:multiLevelType w:val="hybridMultilevel"/>
    <w:lvl w:ilvl="0">
      <w:lvlJc w:val="left"/>
      <w:lvlText w:val="(%1)"/>
      <w:numFmt w:val="decimal"/>
      <w:start w:val="1"/>
    </w:lvl>
  </w:abstractNum>
  <w:abstractNum w:abstractNumId="204">
    <w:nsid w:val="6A37288A"/>
    <w:multiLevelType w:val="hybridMultilevel"/>
    <w:lvl w:ilvl="0">
      <w:lvlJc w:val="left"/>
      <w:lvlText w:val="(%1)"/>
      <w:numFmt w:val="lowerLetter"/>
      <w:start w:val="1"/>
    </w:lvl>
  </w:abstractNum>
  <w:abstractNum w:abstractNumId="205">
    <w:nsid w:val="8F8B73F"/>
    <w:multiLevelType w:val="hybridMultilevel"/>
    <w:lvl w:ilvl="0">
      <w:lvlJc w:val="left"/>
      <w:lvlText w:val="(%1)"/>
      <w:numFmt w:val="lowerLetter"/>
      <w:start w:val="22"/>
    </w:lvl>
  </w:abstractNum>
  <w:abstractNum w:abstractNumId="206">
    <w:nsid w:val="CA6B462"/>
    <w:multiLevelType w:val="hybridMultilevel"/>
    <w:lvl w:ilvl="0">
      <w:lvlJc w:val="left"/>
      <w:lvlText w:val="(%1)"/>
      <w:numFmt w:val="lowerRoman"/>
      <w:start w:val="3"/>
    </w:lvl>
  </w:abstractNum>
  <w:abstractNum w:abstractNumId="207">
    <w:nsid w:val="763CB680"/>
    <w:multiLevelType w:val="hybridMultilevel"/>
    <w:lvl w:ilvl="0">
      <w:lvlJc w:val="left"/>
      <w:lvlText w:val="·"/>
      <w:numFmt w:val="bullet"/>
      <w:start w:val="1"/>
    </w:lvl>
  </w:abstractNum>
  <w:abstractNum w:abstractNumId="208">
    <w:nsid w:val="15B71329"/>
    <w:multiLevelType w:val="hybridMultilevel"/>
    <w:lvl w:ilvl="0">
      <w:lvlJc w:val="left"/>
      <w:lvlText w:val="·"/>
      <w:numFmt w:val="bullet"/>
      <w:start w:val="1"/>
    </w:lvl>
  </w:abstractNum>
  <w:abstractNum w:abstractNumId="209">
    <w:nsid w:val="3DA97044"/>
    <w:multiLevelType w:val="hybridMultilevel"/>
    <w:lvl w:ilvl="0">
      <w:lvlJc w:val="left"/>
      <w:lvlText w:val="%1."/>
      <w:numFmt w:val="decimal"/>
      <w:start w:val="1"/>
    </w:lvl>
  </w:abstractNum>
  <w:abstractNum w:abstractNumId="210">
    <w:nsid w:val="1CDCE2D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2019-12-08T20:25:40Z</dcterms:created>
  <dcterms:modified xsi:type="dcterms:W3CDTF">2019-12-08T20:25:40Z</dcterms:modified>
</cp:coreProperties>
</file>